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8A38B">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40"/>
          <w:szCs w:val="40"/>
          <w:highlight w:val="none"/>
          <w14:textFill>
            <w14:solidFill>
              <w14:schemeClr w14:val="tx1"/>
            </w14:solidFill>
          </w14:textFill>
        </w:rPr>
      </w:pPr>
      <w:r>
        <w:rPr>
          <w:rFonts w:hint="eastAsia" w:ascii="仿宋_GB2312" w:hAnsi="仿宋_GB2312" w:eastAsia="仿宋_GB2312" w:cs="仿宋_GB2312"/>
          <w:b/>
          <w:bCs/>
          <w:color w:val="000000" w:themeColor="text1"/>
          <w:sz w:val="40"/>
          <w:szCs w:val="40"/>
          <w:highlight w:val="none"/>
          <w14:textFill>
            <w14:solidFill>
              <w14:schemeClr w14:val="tx1"/>
            </w14:solidFill>
          </w14:textFill>
        </w:rPr>
        <w:t>电动自行车充电桩建设运营合作协议</w:t>
      </w:r>
    </w:p>
    <w:p w14:paraId="6F54040C">
      <w:pPr>
        <w:keepNext w:val="0"/>
        <w:keepLines w:val="0"/>
        <w:pageBreakBefore w:val="0"/>
        <w:widowControl/>
        <w:kinsoku/>
        <w:wordWrap w:val="0"/>
        <w:overflowPunct/>
        <w:topLinePunct w:val="0"/>
        <w:autoSpaceDE w:val="0"/>
        <w:autoSpaceDN/>
        <w:bidi w:val="0"/>
        <w:adjustRightInd w:val="0"/>
        <w:snapToGrid w:val="0"/>
        <w:spacing w:line="480" w:lineRule="exact"/>
        <w:jc w:val="right"/>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协议编号：       </w:t>
      </w:r>
    </w:p>
    <w:p w14:paraId="7F30FE7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29F89B3C">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厦门火炬高新区招商服务中心有限公司</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(以下简称甲方)</w:t>
      </w:r>
    </w:p>
    <w:p w14:paraId="535688B3">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地址：</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厦门火炬高新区火炬路56-58号火炬广场南楼210</w:t>
      </w:r>
    </w:p>
    <w:p w14:paraId="6C5BFC14">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default"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联系电话：</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p>
    <w:p w14:paraId="21F11633">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eastAsia="zh-CN"/>
          <w14:textFill>
            <w14:solidFill>
              <w14:schemeClr w14:val="tx1"/>
            </w14:solidFill>
          </w14:textFill>
        </w:rPr>
        <w:t>邸国栋</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bookmarkStart w:id="0" w:name="_GoBack"/>
      <w:bookmarkEnd w:id="0"/>
    </w:p>
    <w:p w14:paraId="4BEFE8C2">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D1D619B">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（以下简称乙方）</w:t>
      </w:r>
    </w:p>
    <w:p w14:paraId="1C5A3D3F">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地址：</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p>
    <w:p w14:paraId="34985DEB">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default"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联系电话：</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p>
    <w:p w14:paraId="2DCA0F9D">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p>
    <w:p w14:paraId="766231F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630A5FE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为了给园区企业员工提供安全便利的充电服务，甲、乙双方本着平等自愿的原则，经友好协商，就</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高新广场 </w:t>
      </w:r>
      <w:r>
        <w:rPr>
          <w:rFonts w:hint="eastAsia" w:ascii="仿宋_GB2312" w:hAnsi="仿宋_GB2312" w:eastAsia="仿宋_GB2312" w:cs="仿宋_GB2312"/>
          <w:color w:val="000000" w:themeColor="text1"/>
          <w:sz w:val="32"/>
          <w:szCs w:val="32"/>
          <w:highlight w:val="none"/>
          <w14:textFill>
            <w14:solidFill>
              <w14:schemeClr w14:val="tx1"/>
            </w14:solidFill>
          </w14:textFill>
        </w:rPr>
        <w:t>建设运营电动自行车智能充电桩事宜达成共识，签订合作协议如下：</w:t>
      </w:r>
    </w:p>
    <w:p w14:paraId="2D461D9A">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第一条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合作方式</w:t>
      </w:r>
    </w:p>
    <w:p w14:paraId="04C5E2D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1.甲方将</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高新广场 </w:t>
      </w:r>
      <w:r>
        <w:rPr>
          <w:rFonts w:hint="eastAsia" w:ascii="仿宋_GB2312" w:hAnsi="仿宋_GB2312" w:eastAsia="仿宋_GB2312" w:cs="仿宋_GB2312"/>
          <w:color w:val="000000" w:themeColor="text1"/>
          <w:sz w:val="32"/>
          <w:szCs w:val="32"/>
          <w:highlight w:val="none"/>
          <w14:textFill>
            <w14:solidFill>
              <w14:schemeClr w14:val="tx1"/>
            </w14:solidFill>
          </w14:textFill>
        </w:rPr>
        <w:t>电动自行车充电业务提供给乙方投资建设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及运营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乙方拟规划建设充电总端口数共计100个，智能充电设备共计10台。其中</w:t>
      </w:r>
      <w:r>
        <w:rPr>
          <w:rFonts w:hint="eastAsia" w:ascii="仿宋_GB2312" w:hAnsi="仿宋_GB2312" w:eastAsia="仿宋_GB2312" w:cs="仿宋_GB2312"/>
          <w:color w:val="000000" w:themeColor="text1"/>
          <w:sz w:val="32"/>
          <w:szCs w:val="32"/>
          <w:highlight w:val="none"/>
          <w14:textFill>
            <w14:solidFill>
              <w14:schemeClr w14:val="tx1"/>
            </w14:solidFill>
          </w14:textFill>
        </w:rPr>
        <w:t>首批建设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数量≥充电端口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数20</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个</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，智能充电设备2台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建成投入运行后视用户充电需求及甲方要求适时增设充电设备。乙方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highlight w:val="none"/>
          <w14:textFill>
            <w14:solidFill>
              <w14:schemeClr w14:val="tx1"/>
            </w14:solidFill>
          </w14:textFill>
        </w:rPr>
        <w:t>运营须符合《福建省电动自行车停放充电场所消防安全导则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试行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》等相关文件规范要求。</w:t>
      </w:r>
    </w:p>
    <w:p w14:paraId="3B6839E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2.充电桩建设完成后，在遵从甲方的管理以及园区相关管理规定的前提下，由乙方进行运营、维护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、管理</w:t>
      </w: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保障服务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充电设施建设及运营期间产生的一切费用均由乙方自行承担</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151014E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3.甲方向乙方按实际用电量收取日常服务费(¥</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元/千瓦时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含税</w:t>
      </w:r>
      <w:r>
        <w:rPr>
          <w:rFonts w:hint="eastAsia" w:ascii="仿宋_GB2312" w:hAnsi="仿宋_GB2312" w:eastAsia="仿宋_GB2312" w:cs="仿宋_GB2312"/>
          <w:color w:val="000000" w:themeColor="text1"/>
          <w:sz w:val="32"/>
          <w:szCs w:val="32"/>
          <w:highlight w:val="none"/>
          <w14:textFill>
            <w14:solidFill>
              <w14:schemeClr w14:val="tx1"/>
            </w14:solidFill>
          </w14:textFill>
        </w:rPr>
        <w:t>），费用按自然季度分别结算。</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乙方在每季度首月的5日前向甲方提交上一季度费用明细等材料，</w:t>
      </w:r>
      <w:r>
        <w:rPr>
          <w:rFonts w:hint="eastAsia" w:ascii="仿宋_GB2312" w:hAnsi="仿宋_GB2312" w:eastAsia="仿宋_GB2312" w:cs="仿宋_GB2312"/>
          <w:color w:val="000000" w:themeColor="text1"/>
          <w:sz w:val="32"/>
          <w:szCs w:val="32"/>
          <w:highlight w:val="none"/>
          <w14:textFill>
            <w14:solidFill>
              <w14:schemeClr w14:val="tx1"/>
            </w14:solidFill>
          </w14:textFill>
        </w:rPr>
        <w:t>双方在每季度首月的10日前，完成上一季度费用的核对，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确认无误之后，乙方在收到甲方开具的增值税专用发票后5个工作日内完成汇款。</w:t>
      </w:r>
    </w:p>
    <w:p w14:paraId="57E79E0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甲方结算账户信息：</w:t>
      </w:r>
    </w:p>
    <w:tbl>
      <w:tblPr>
        <w:tblStyle w:val="11"/>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2"/>
        <w:gridCol w:w="5844"/>
      </w:tblGrid>
      <w:tr w14:paraId="05CCA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682" w:type="dxa"/>
            <w:vAlign w:val="top"/>
          </w:tcPr>
          <w:p w14:paraId="1724A169">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开户行</w:t>
            </w:r>
          </w:p>
        </w:tc>
        <w:tc>
          <w:tcPr>
            <w:tcW w:w="5844" w:type="dxa"/>
            <w:vAlign w:val="top"/>
          </w:tcPr>
          <w:p w14:paraId="1A072FF2">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left"/>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厦门银行科技支行</w:t>
            </w:r>
          </w:p>
        </w:tc>
      </w:tr>
      <w:tr w14:paraId="1B017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82" w:type="dxa"/>
            <w:vAlign w:val="top"/>
          </w:tcPr>
          <w:p w14:paraId="29D0F027">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开户名</w:t>
            </w:r>
          </w:p>
        </w:tc>
        <w:tc>
          <w:tcPr>
            <w:tcW w:w="5844" w:type="dxa"/>
            <w:vAlign w:val="top"/>
          </w:tcPr>
          <w:p w14:paraId="6E23B548">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left"/>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厦门火炬高新区招商服务中心有限公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司</w:t>
            </w:r>
          </w:p>
        </w:tc>
      </w:tr>
      <w:tr w14:paraId="52BBA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82" w:type="dxa"/>
            <w:shd w:val="clear" w:color="auto" w:fill="auto"/>
            <w:vAlign w:val="top"/>
          </w:tcPr>
          <w:p w14:paraId="2D582C5F">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color w:val="000000" w:themeColor="text1"/>
                <w:sz w:val="32"/>
                <w:szCs w:val="32"/>
                <w:highlight w:val="none"/>
                <w:lang w:val="en-US" w:eastAsia="en-U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账号</w:t>
            </w:r>
          </w:p>
        </w:tc>
        <w:tc>
          <w:tcPr>
            <w:tcW w:w="5844" w:type="dxa"/>
            <w:shd w:val="clear" w:color="auto" w:fill="auto"/>
            <w:vAlign w:val="top"/>
          </w:tcPr>
          <w:p w14:paraId="0C65B3D1">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left"/>
              <w:textAlignment w:val="baseline"/>
              <w:rPr>
                <w:rFonts w:hint="eastAsia" w:ascii="仿宋_GB2312" w:hAnsi="仿宋_GB2312" w:eastAsia="仿宋_GB2312" w:cs="仿宋_GB2312"/>
                <w:color w:val="000000" w:themeColor="text1"/>
                <w:sz w:val="32"/>
                <w:szCs w:val="32"/>
                <w:highlight w:val="none"/>
                <w:lang w:val="en-US" w:eastAsia="en-U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87830120540002452</w:t>
            </w:r>
          </w:p>
        </w:tc>
      </w:tr>
      <w:tr w14:paraId="721CA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82" w:type="dxa"/>
            <w:shd w:val="clear" w:color="auto" w:fill="auto"/>
            <w:vAlign w:val="top"/>
          </w:tcPr>
          <w:p w14:paraId="0D849074">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color w:val="000000" w:themeColor="text1"/>
                <w:sz w:val="32"/>
                <w:szCs w:val="32"/>
                <w:highlight w:val="none"/>
                <w:lang w:val="en-US" w:eastAsia="en-U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纳税人识别号</w:t>
            </w:r>
          </w:p>
        </w:tc>
        <w:tc>
          <w:tcPr>
            <w:tcW w:w="5844" w:type="dxa"/>
            <w:shd w:val="clear" w:color="auto" w:fill="auto"/>
            <w:vAlign w:val="top"/>
          </w:tcPr>
          <w:p w14:paraId="3CC3A2DF">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left"/>
              <w:textAlignment w:val="baseline"/>
              <w:rPr>
                <w:rFonts w:hint="eastAsia" w:ascii="仿宋_GB2312" w:hAnsi="仿宋_GB2312" w:eastAsia="仿宋_GB2312" w:cs="仿宋_GB2312"/>
                <w:color w:val="000000" w:themeColor="text1"/>
                <w:sz w:val="32"/>
                <w:szCs w:val="32"/>
                <w:highlight w:val="none"/>
                <w:lang w:val="en-US" w:eastAsia="en-U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91350200MA2XYMT432</w:t>
            </w:r>
          </w:p>
        </w:tc>
      </w:tr>
    </w:tbl>
    <w:p w14:paraId="15CD172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乙方开票信息：</w:t>
      </w:r>
    </w:p>
    <w:p w14:paraId="5CA8EAF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公司名称：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p>
    <w:p w14:paraId="48E9181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纳税人识别号：</w:t>
      </w:r>
    </w:p>
    <w:p w14:paraId="7B47310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注册地址：</w:t>
      </w:r>
    </w:p>
    <w:p w14:paraId="3314DBB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电话：</w:t>
      </w:r>
    </w:p>
    <w:p w14:paraId="6C0F135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开户行：</w:t>
      </w:r>
    </w:p>
    <w:p w14:paraId="4C9D8CF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账号：</w:t>
      </w:r>
    </w:p>
    <w:p w14:paraId="674FC64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4.充电收费标准根据国家发展改革委办公厅、市场监管总局办公厅《关于规范电动自行车充电收费行为的通知》(发改办价格〔2024〕537号)要求实施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充电</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服务费应遵循市场调节价的定价原则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初次执行收费标准如下：</w:t>
      </w:r>
    </w:p>
    <w:tbl>
      <w:tblPr>
        <w:tblStyle w:val="9"/>
        <w:tblW w:w="8565"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2"/>
        <w:gridCol w:w="2"/>
        <w:gridCol w:w="3511"/>
        <w:gridCol w:w="2220"/>
      </w:tblGrid>
      <w:tr w14:paraId="1FD2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832" w:type="dxa"/>
            <w:vAlign w:val="center"/>
          </w:tcPr>
          <w:p w14:paraId="3A8079B3">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充电功率分档</w:t>
            </w:r>
          </w:p>
        </w:tc>
        <w:tc>
          <w:tcPr>
            <w:tcW w:w="3513" w:type="dxa"/>
            <w:gridSpan w:val="2"/>
            <w:vAlign w:val="center"/>
          </w:tcPr>
          <w:p w14:paraId="3408FCCD">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收费标准</w:t>
            </w:r>
          </w:p>
        </w:tc>
        <w:tc>
          <w:tcPr>
            <w:tcW w:w="2220" w:type="dxa"/>
            <w:vAlign w:val="center"/>
          </w:tcPr>
          <w:p w14:paraId="39419DA4">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备注</w:t>
            </w:r>
          </w:p>
        </w:tc>
      </w:tr>
      <w:tr w14:paraId="7FA5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834" w:type="dxa"/>
            <w:gridSpan w:val="2"/>
            <w:vAlign w:val="center"/>
          </w:tcPr>
          <w:p w14:paraId="71FEE8B2">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0 - 250W</w:t>
            </w:r>
          </w:p>
        </w:tc>
        <w:tc>
          <w:tcPr>
            <w:tcW w:w="3511" w:type="dxa"/>
            <w:vAlign w:val="center"/>
          </w:tcPr>
          <w:p w14:paraId="5507F215">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tc>
        <w:tc>
          <w:tcPr>
            <w:tcW w:w="2220" w:type="dxa"/>
            <w:vMerge w:val="restart"/>
            <w:vAlign w:val="center"/>
          </w:tcPr>
          <w:p w14:paraId="698C3952">
            <w:pPr>
              <w:keepNext w:val="0"/>
              <w:keepLines w:val="0"/>
              <w:pageBreakBefore w:val="0"/>
              <w:widowControl/>
              <w:kinsoku/>
              <w:wordWrap w:val="0"/>
              <w:overflowPunct/>
              <w:topLinePunct w:val="0"/>
              <w:autoSpaceDE w:val="0"/>
              <w:autoSpaceDN/>
              <w:bidi w:val="0"/>
              <w:adjustRightInd w:val="0"/>
              <w:snapToGrid w:val="0"/>
              <w:spacing w:line="360" w:lineRule="exact"/>
              <w:ind w:firstLine="0" w:firstLineChars="0"/>
              <w:jc w:val="left"/>
              <w:textAlignment w:val="baseline"/>
              <w:rPr>
                <w:rFonts w:hint="default" w:ascii="仿宋_GB2312" w:hAnsi="仿宋_GB2312" w:eastAsia="仿宋_GB2312" w:cs="仿宋_GB2312"/>
                <w:strike/>
                <w:dstrike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strike w:val="0"/>
                <w:dstrike w:val="0"/>
                <w:color w:val="000000" w:themeColor="text1"/>
                <w:sz w:val="28"/>
                <w:szCs w:val="28"/>
                <w:highlight w:val="none"/>
                <w:lang w:val="en-US" w:eastAsia="zh-CN"/>
                <w14:textFill>
                  <w14:solidFill>
                    <w14:schemeClr w14:val="tx1"/>
                  </w14:solidFill>
                </w14:textFill>
              </w:rPr>
              <w:t>收费标准中含工商电价的电费和充电服务费</w:t>
            </w:r>
          </w:p>
        </w:tc>
      </w:tr>
      <w:tr w14:paraId="6731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834" w:type="dxa"/>
            <w:gridSpan w:val="2"/>
            <w:vAlign w:val="center"/>
          </w:tcPr>
          <w:p w14:paraId="7C0863F9">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251 - 350W</w:t>
            </w:r>
          </w:p>
        </w:tc>
        <w:tc>
          <w:tcPr>
            <w:tcW w:w="3511" w:type="dxa"/>
            <w:vAlign w:val="center"/>
          </w:tcPr>
          <w:p w14:paraId="0F99FEBE">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strike w:val="0"/>
                <w:color w:val="000000" w:themeColor="text1"/>
                <w:sz w:val="32"/>
                <w:szCs w:val="32"/>
                <w:highlight w:val="none"/>
                <w:lang w:val="en-US" w:eastAsia="zh-CN"/>
                <w14:textFill>
                  <w14:solidFill>
                    <w14:schemeClr w14:val="tx1"/>
                  </w14:solidFill>
                </w14:textFill>
              </w:rPr>
            </w:pPr>
          </w:p>
        </w:tc>
        <w:tc>
          <w:tcPr>
            <w:tcW w:w="2220" w:type="dxa"/>
            <w:vMerge w:val="continue"/>
            <w:vAlign w:val="center"/>
          </w:tcPr>
          <w:p w14:paraId="03023D6F">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both"/>
              <w:textAlignment w:val="baseline"/>
              <w:rPr>
                <w:rFonts w:hint="eastAsia" w:ascii="仿宋_GB2312" w:hAnsi="仿宋_GB2312" w:eastAsia="仿宋_GB2312" w:cs="仿宋_GB2312"/>
                <w:strike/>
                <w:dstrike w:val="0"/>
                <w:color w:val="000000" w:themeColor="text1"/>
                <w:sz w:val="32"/>
                <w:szCs w:val="32"/>
                <w:highlight w:val="none"/>
                <w:lang w:val="en-US" w:eastAsia="zh-CN"/>
                <w14:textFill>
                  <w14:solidFill>
                    <w14:schemeClr w14:val="tx1"/>
                  </w14:solidFill>
                </w14:textFill>
              </w:rPr>
            </w:pPr>
          </w:p>
        </w:tc>
      </w:tr>
      <w:tr w14:paraId="2A70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834" w:type="dxa"/>
            <w:gridSpan w:val="2"/>
            <w:vAlign w:val="center"/>
          </w:tcPr>
          <w:p w14:paraId="2F3F68D2">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351 - 500W</w:t>
            </w:r>
          </w:p>
        </w:tc>
        <w:tc>
          <w:tcPr>
            <w:tcW w:w="3511" w:type="dxa"/>
            <w:vAlign w:val="center"/>
          </w:tcPr>
          <w:p w14:paraId="0EE606D4">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center"/>
              <w:textAlignment w:val="baseline"/>
              <w:rPr>
                <w:rFonts w:hint="eastAsia" w:ascii="仿宋_GB2312" w:hAnsi="仿宋_GB2312" w:eastAsia="仿宋_GB2312" w:cs="仿宋_GB2312"/>
                <w:strike w:val="0"/>
                <w:color w:val="000000" w:themeColor="text1"/>
                <w:sz w:val="32"/>
                <w:szCs w:val="32"/>
                <w:highlight w:val="none"/>
                <w:lang w:val="en-US" w:eastAsia="zh-CN"/>
                <w14:textFill>
                  <w14:solidFill>
                    <w14:schemeClr w14:val="tx1"/>
                  </w14:solidFill>
                </w14:textFill>
              </w:rPr>
            </w:pPr>
          </w:p>
        </w:tc>
        <w:tc>
          <w:tcPr>
            <w:tcW w:w="2220" w:type="dxa"/>
            <w:vMerge w:val="continue"/>
            <w:vAlign w:val="center"/>
          </w:tcPr>
          <w:p w14:paraId="20C17533">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both"/>
              <w:textAlignment w:val="baseline"/>
              <w:rPr>
                <w:rFonts w:hint="eastAsia" w:ascii="仿宋_GB2312" w:hAnsi="仿宋_GB2312" w:eastAsia="仿宋_GB2312" w:cs="仿宋_GB2312"/>
                <w:strike/>
                <w:dstrike w:val="0"/>
                <w:color w:val="000000" w:themeColor="text1"/>
                <w:sz w:val="32"/>
                <w:szCs w:val="32"/>
                <w:highlight w:val="none"/>
                <w:lang w:val="en-US" w:eastAsia="zh-CN"/>
                <w14:textFill>
                  <w14:solidFill>
                    <w14:schemeClr w14:val="tx1"/>
                  </w14:solidFill>
                </w14:textFill>
              </w:rPr>
            </w:pPr>
          </w:p>
        </w:tc>
      </w:tr>
      <w:tr w14:paraId="3ACF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8565" w:type="dxa"/>
            <w:gridSpan w:val="4"/>
            <w:vAlign w:val="center"/>
          </w:tcPr>
          <w:p w14:paraId="7A2BE05D">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both"/>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扫码未充满时间拔掉插座离开的，剩余时间自动退费</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p>
          <w:p w14:paraId="3C54A38A">
            <w:pPr>
              <w:keepNext w:val="0"/>
              <w:keepLines w:val="0"/>
              <w:pageBreakBefore w:val="0"/>
              <w:widowControl/>
              <w:kinsoku/>
              <w:wordWrap w:val="0"/>
              <w:overflowPunct/>
              <w:topLinePunct w:val="0"/>
              <w:autoSpaceDE w:val="0"/>
              <w:autoSpaceDN/>
              <w:bidi w:val="0"/>
              <w:adjustRightInd w:val="0"/>
              <w:snapToGrid w:val="0"/>
              <w:spacing w:line="480" w:lineRule="exact"/>
              <w:ind w:firstLine="0" w:firstLineChars="0"/>
              <w:jc w:val="both"/>
              <w:textAlignment w:val="baseline"/>
              <w:rPr>
                <w:rFonts w:hint="eastAsia" w:ascii="仿宋_GB2312" w:hAnsi="仿宋_GB2312" w:eastAsia="仿宋_GB2312" w:cs="仿宋_GB2312"/>
                <w:strike/>
                <w:dstrike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收费标准随国家政策、电费调整、大环境变化而适时调整</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tc>
      </w:tr>
    </w:tbl>
    <w:p w14:paraId="7543A5E0">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第二条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合作期限</w:t>
      </w:r>
    </w:p>
    <w:p w14:paraId="3A27D4B5">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合作期限：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z w:val="32"/>
          <w:szCs w:val="32"/>
          <w:highlight w:val="none"/>
          <w14:textFill>
            <w14:solidFill>
              <w14:schemeClr w14:val="tx1"/>
            </w14:solidFill>
          </w14:textFill>
        </w:rPr>
        <w:t>个月，自协议签订之日起计算。</w:t>
      </w:r>
    </w:p>
    <w:p w14:paraId="559FF470">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第三条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充电桩的使用</w:t>
      </w:r>
    </w:p>
    <w:p w14:paraId="7A9964A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充电桩建设后作为开放的、面向园区或社会服务的公共充电设施，为所有适用车辆提供充电服务。对外开放充电营业时间：每天24小时。</w:t>
      </w:r>
    </w:p>
    <w:p w14:paraId="40C0F8A7">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第四条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约定内容</w:t>
      </w:r>
    </w:p>
    <w:p w14:paraId="1C05BF7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1.乙方投资建设充电桩设备及相应的消防等安全设施，负责设备及充电服务的日常运营维护，向用户收取相应的充电费用。</w:t>
      </w:r>
    </w:p>
    <w:p w14:paraId="1B69F59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2.充电桩的电力接入：与甲方协商从园区合适的配电箱接入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充电所产生的电费由物业管理公司</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厦门火炬产业园区服务有限公司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代收代缴，乙方应与物业公司自行结算所产生的电费</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48EEA3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3.乙方开通一个专门的平台账号，供甲方查询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所有</w:t>
      </w:r>
      <w:r>
        <w:rPr>
          <w:rFonts w:hint="eastAsia" w:ascii="仿宋_GB2312" w:hAnsi="仿宋_GB2312" w:eastAsia="仿宋_GB2312" w:cs="仿宋_GB2312"/>
          <w:color w:val="000000" w:themeColor="text1"/>
          <w:sz w:val="32"/>
          <w:szCs w:val="32"/>
          <w:highlight w:val="none"/>
          <w14:textFill>
            <w14:solidFill>
              <w14:schemeClr w14:val="tx1"/>
            </w14:solidFill>
          </w14:textFill>
        </w:rPr>
        <w:t>充电桩充电及收费情况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0CDA9A9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4.充电桩建成后，由乙方负责充电桩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全部</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安全责任，若因充电桩安全或充电业务引起争议和纠纷的，由乙方承担责任。乙方须对充电设施投保公共责任险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等保险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4DFD334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5.用户充电收费标准不高于同区域平均收费标准。乙方必须遵守国家及地方关于充电收费价费分离、明码标价、数据安全等规定。甲方有权对乙方的收费标准、公示情况进行监督，若乙方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违反相关规定及协议约定</w:t>
      </w:r>
      <w:r>
        <w:rPr>
          <w:rFonts w:hint="eastAsia" w:ascii="仿宋_GB2312" w:hAnsi="仿宋_GB2312" w:eastAsia="仿宋_GB2312" w:cs="仿宋_GB2312"/>
          <w:color w:val="000000" w:themeColor="text1"/>
          <w:sz w:val="32"/>
          <w:szCs w:val="32"/>
          <w:highlight w:val="none"/>
          <w14:textFill>
            <w14:solidFill>
              <w14:schemeClr w14:val="tx1"/>
            </w14:solidFill>
          </w14:textFill>
        </w:rPr>
        <w:t>，甲方有权责令整改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直至</w:t>
      </w:r>
      <w:r>
        <w:rPr>
          <w:rFonts w:hint="eastAsia" w:ascii="仿宋_GB2312" w:hAnsi="仿宋_GB2312" w:eastAsia="仿宋_GB2312" w:cs="仿宋_GB2312"/>
          <w:color w:val="000000" w:themeColor="text1"/>
          <w:sz w:val="32"/>
          <w:szCs w:val="32"/>
          <w:highlight w:val="none"/>
          <w14:textFill>
            <w14:solidFill>
              <w14:schemeClr w14:val="tx1"/>
            </w14:solidFill>
          </w14:textFill>
        </w:rPr>
        <w:t>解除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6185DBE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6.乙方在协议生效后15个日历日内完成施工并投入使用。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设计及施工方案需事先经甲方确认后方可实施。</w:t>
      </w:r>
    </w:p>
    <w:p w14:paraId="156FA1F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7.乙方</w:t>
      </w:r>
      <w:r>
        <w:rPr>
          <w:rFonts w:hint="eastAsia" w:ascii="仿宋_GB2312" w:hAnsi="仿宋_GB2312" w:eastAsia="仿宋_GB2312" w:cs="仿宋_GB2312"/>
          <w:color w:val="000000" w:themeColor="text1"/>
          <w:sz w:val="32"/>
          <w:szCs w:val="32"/>
          <w:highlight w:val="none"/>
          <w14:textFill>
            <w14:solidFill>
              <w14:schemeClr w14:val="tx1"/>
            </w14:solidFill>
          </w14:textFill>
        </w:rPr>
        <w:t>是充电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桩</w:t>
      </w:r>
      <w:r>
        <w:rPr>
          <w:rFonts w:hint="eastAsia" w:ascii="仿宋_GB2312" w:hAnsi="仿宋_GB2312" w:eastAsia="仿宋_GB2312" w:cs="仿宋_GB2312"/>
          <w:color w:val="000000" w:themeColor="text1"/>
          <w:sz w:val="32"/>
          <w:szCs w:val="32"/>
          <w:highlight w:val="none"/>
          <w14:textFill>
            <w14:solidFill>
              <w14:schemeClr w14:val="tx1"/>
            </w14:solidFill>
          </w14:textFill>
        </w:rPr>
        <w:t>的安全管理第一责任人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施工、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运营管理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期间如造成伤亡、火警、火灾、机械等安全事故，乙方应积极主动进行紧急抢救伤员和保护现场，并第一时间告知甲方协助处理，如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因此致使甲方人员、乙方人员或第三人遭受人身财产损害的，相关责任由乙方自行承担。若因乙方原因导致甲方因此而承担赔偿责任或被行政机关处罚的，有权向乙方全额追偿。</w:t>
      </w:r>
    </w:p>
    <w:p w14:paraId="166049B5">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第五条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合同保证金</w:t>
      </w:r>
    </w:p>
    <w:p w14:paraId="1553907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合同保证金（以下简称保证金）金额为人民币</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壹万元</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整(￥</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000.00元）</w:t>
      </w:r>
      <w:r>
        <w:rPr>
          <w:rFonts w:hint="eastAsia" w:ascii="仿宋_GB2312" w:hAnsi="仿宋_GB2312" w:eastAsia="仿宋_GB2312" w:cs="仿宋_GB2312"/>
          <w:color w:val="000000" w:themeColor="text1"/>
          <w:sz w:val="32"/>
          <w:szCs w:val="32"/>
          <w:highlight w:val="none"/>
          <w14:textFill>
            <w14:solidFill>
              <w14:schemeClr w14:val="tx1"/>
            </w14:solidFill>
          </w14:textFill>
        </w:rPr>
        <w:t>，乙方应当于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签订之日起七个工作日内支付。甲方有权直接扣除保证金相关金额用于扣缴乙方拖欠的电费、服务费或违约金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等费用</w:t>
      </w:r>
      <w:r>
        <w:rPr>
          <w:rFonts w:hint="eastAsia" w:ascii="仿宋_GB2312" w:hAnsi="仿宋_GB2312" w:eastAsia="仿宋_GB2312" w:cs="仿宋_GB2312"/>
          <w:color w:val="000000" w:themeColor="text1"/>
          <w:sz w:val="32"/>
          <w:szCs w:val="32"/>
          <w:highlight w:val="none"/>
          <w14:textFill>
            <w14:solidFill>
              <w14:schemeClr w14:val="tx1"/>
            </w14:solidFill>
          </w14:textFill>
        </w:rPr>
        <w:t>，并要求乙方及时补足保证金。</w:t>
      </w:r>
    </w:p>
    <w:p w14:paraId="4F1B55C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期满或终止或解除时，甲方在乙方结清相关费用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无违约行为</w:t>
      </w:r>
      <w:r>
        <w:rPr>
          <w:rFonts w:hint="eastAsia" w:ascii="仿宋_GB2312" w:hAnsi="仿宋_GB2312" w:eastAsia="仿宋_GB2312" w:cs="仿宋_GB2312"/>
          <w:color w:val="000000" w:themeColor="text1"/>
          <w:sz w:val="32"/>
          <w:szCs w:val="32"/>
          <w:highlight w:val="none"/>
          <w14:textFill>
            <w14:solidFill>
              <w14:schemeClr w14:val="tx1"/>
            </w14:solidFill>
          </w14:textFill>
        </w:rPr>
        <w:t>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将场地恢复原状</w:t>
      </w:r>
      <w:r>
        <w:rPr>
          <w:rFonts w:hint="eastAsia" w:ascii="仿宋_GB2312" w:hAnsi="仿宋_GB2312" w:eastAsia="仿宋_GB2312" w:cs="仿宋_GB2312"/>
          <w:color w:val="000000" w:themeColor="text1"/>
          <w:sz w:val="32"/>
          <w:szCs w:val="32"/>
          <w:highlight w:val="none"/>
          <w14:textFill>
            <w14:solidFill>
              <w14:schemeClr w14:val="tx1"/>
            </w14:solidFill>
          </w14:textFill>
        </w:rPr>
        <w:t>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还甲方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后七个工作日内将保证金（不计利息）退还乙方。</w:t>
      </w:r>
    </w:p>
    <w:p w14:paraId="66011048">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第六条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双方权利与义务</w:t>
      </w:r>
    </w:p>
    <w:p w14:paraId="2D6DF4A1">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1.甲方的权利和义务：</w:t>
      </w:r>
    </w:p>
    <w:p w14:paraId="552BCBF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（1）合作期内，乙方负责充电桩设备的投资、安装、日常运营及维护保养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，并承担由此产生的全部运营成本。乙方应建立完善的设备巡检与维护制度，确保设备符合国家安全标准及</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相关</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法律法规要求。因设备故障、维护不当、操作失误等原因导致的一切人身损害、财产损失及行政处罚，均由乙方承担全部法律责任及赔偿责任。</w:t>
      </w:r>
    </w:p>
    <w:p w14:paraId="39D88F9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（2）合作期内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甲方根据政府有关主管部门要求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协助乙方完成充电桩建设、运营等相关报批报建工作。</w:t>
      </w:r>
    </w:p>
    <w:p w14:paraId="45E0F31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（3）合作期内，如甲方对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项下的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产</w:t>
      </w:r>
      <w:r>
        <w:rPr>
          <w:rFonts w:hint="eastAsia" w:ascii="仿宋_GB2312" w:hAnsi="仿宋_GB2312" w:eastAsia="仿宋_GB2312" w:cs="仿宋_GB2312"/>
          <w:color w:val="000000" w:themeColor="text1"/>
          <w:sz w:val="32"/>
          <w:szCs w:val="32"/>
          <w:highlight w:val="none"/>
          <w14:textFill>
            <w14:solidFill>
              <w14:schemeClr w14:val="tx1"/>
            </w14:solidFill>
          </w14:textFill>
        </w:rPr>
        <w:t>权发生变更，甲方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将</w:t>
      </w:r>
      <w:r>
        <w:rPr>
          <w:rFonts w:hint="eastAsia" w:ascii="仿宋_GB2312" w:hAnsi="仿宋_GB2312" w:eastAsia="仿宋_GB2312" w:cs="仿宋_GB2312"/>
          <w:color w:val="000000" w:themeColor="text1"/>
          <w:sz w:val="32"/>
          <w:szCs w:val="32"/>
          <w:highlight w:val="none"/>
          <w14:textFill>
            <w14:solidFill>
              <w14:schemeClr w14:val="tx1"/>
            </w14:solidFill>
          </w14:textFill>
        </w:rPr>
        <w:t>书面通知乙方解除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，双方互不承担违约责任，甲方协助乙方与新管理方或产权方就善后事宜进行友好协商。</w:t>
      </w:r>
    </w:p>
    <w:p w14:paraId="22781FA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（4）甲方保障充电桩建设地点具备施工条件，在充电桩安装、调试（试运行）期间，指定管理和技术人员配合乙方施工安装，提供施工用水、用电，并协助乙方完成设备的装卸和提供存放场所。</w:t>
      </w:r>
    </w:p>
    <w:p w14:paraId="197E191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（5）经甲方同意后，乙方可在充电桩安装地点设立用于充电桩指示、引导、说明的标示、标牌；但该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标</w:t>
      </w:r>
      <w:r>
        <w:rPr>
          <w:rFonts w:hint="eastAsia" w:ascii="仿宋_GB2312" w:hAnsi="仿宋_GB2312" w:eastAsia="仿宋_GB2312" w:cs="仿宋_GB2312"/>
          <w:color w:val="000000" w:themeColor="text1"/>
          <w:sz w:val="32"/>
          <w:szCs w:val="32"/>
          <w:highlight w:val="none"/>
          <w14:textFill>
            <w14:solidFill>
              <w14:schemeClr w14:val="tx1"/>
            </w14:solidFill>
          </w14:textFill>
        </w:rPr>
        <w:t>示需与甲方的导视系统相协调。</w:t>
      </w:r>
    </w:p>
    <w:p w14:paraId="281E889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（6）未经</w:t>
      </w:r>
      <w:r>
        <w:rPr>
          <w:rFonts w:hint="eastAsia" w:ascii="仿宋_GB2312" w:hAnsi="仿宋_GB2312" w:eastAsia="仿宋_GB2312" w:cs="仿宋_GB2312"/>
          <w:strike w:val="0"/>
          <w:dstrike w:val="0"/>
          <w:color w:val="000000" w:themeColor="text1"/>
          <w:sz w:val="32"/>
          <w:szCs w:val="32"/>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sz w:val="32"/>
          <w:szCs w:val="32"/>
          <w:highlight w:val="none"/>
          <w14:textFill>
            <w14:solidFill>
              <w14:schemeClr w14:val="tx1"/>
            </w14:solidFill>
          </w14:textFill>
        </w:rPr>
        <w:t>方同意，</w:t>
      </w:r>
      <w:r>
        <w:rPr>
          <w:rFonts w:hint="eastAsia" w:ascii="仿宋_GB2312" w:hAnsi="仿宋_GB2312" w:eastAsia="仿宋_GB2312" w:cs="仿宋_GB2312"/>
          <w:strike w:val="0"/>
          <w:dstrike w:val="0"/>
          <w:color w:val="000000" w:themeColor="text1"/>
          <w:sz w:val="32"/>
          <w:szCs w:val="32"/>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sz w:val="32"/>
          <w:szCs w:val="32"/>
          <w:highlight w:val="none"/>
          <w14:textFill>
            <w14:solidFill>
              <w14:schemeClr w14:val="tx1"/>
            </w14:solidFill>
          </w14:textFill>
        </w:rPr>
        <w:t>方不得随意更改设备外观、私拉、私接等更改内部构造以及元器件等，不得以任何理由对设备进行买卖、抵押等，否则应承担由此造成的损失。</w:t>
      </w:r>
    </w:p>
    <w:p w14:paraId="579D0CC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）本协议有效期内，甲方可根据使用情况和乙方协商适当增加或减少充电设备的投放数量，以匹配用户使用需求。</w:t>
      </w:r>
    </w:p>
    <w:p w14:paraId="2C18BD9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）法律规定或本协议约定的其他权利义务。</w:t>
      </w:r>
    </w:p>
    <w:p w14:paraId="6EFA09B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2.乙方的权利与义务：</w:t>
      </w:r>
    </w:p>
    <w:p w14:paraId="189FF9D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（1）乙方享有充电桩配套设施和设备的所有权，是充电系统的拥有（所有）者，包括：品牌、设计、研发、生产、经销及运营实体。</w:t>
      </w:r>
    </w:p>
    <w:p w14:paraId="46B16C8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（2）乙方在符合《广告法》等相关法律法规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及甲方园区管理规定</w:t>
      </w:r>
      <w:r>
        <w:rPr>
          <w:rFonts w:hint="eastAsia" w:ascii="仿宋_GB2312" w:hAnsi="仿宋_GB2312" w:eastAsia="仿宋_GB2312" w:cs="仿宋_GB2312"/>
          <w:color w:val="000000" w:themeColor="text1"/>
          <w:sz w:val="32"/>
          <w:szCs w:val="32"/>
          <w:highlight w:val="none"/>
          <w14:textFill>
            <w14:solidFill>
              <w14:schemeClr w14:val="tx1"/>
            </w14:solidFill>
          </w14:textFill>
        </w:rPr>
        <w:t>的前提下享有在充电桩设施上发布宣传、推广信息的权利，有权在充电桩的配套设施和设备上使用乙方标识及其它乙方有权使用的标识，但标识、标记需与主体环境协调、配套。需提前取得甲方书面同意。</w:t>
      </w:r>
    </w:p>
    <w:p w14:paraId="04D5CBE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（3）按本协议约定，完成充电桩的设计、制造、成套、安装和调试工作，确保安全生产、工程质量和项目各环节的施工进度。乙方提出的场地改造方案和施工图，必须经过甲方审核通过后方可进场施工。</w:t>
      </w:r>
    </w:p>
    <w:p w14:paraId="201C76C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（4）充电桩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施工主要原材料、电气元器件、配套件等选用符合国家标准的产品。</w:t>
      </w:r>
    </w:p>
    <w:p w14:paraId="3FC142A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（5）负责充电系统后期服务以及设备维护，确保充电系统正常运行及在安全方面的可靠性，确保充电系统设施设备整洁美观且不对第三方构成安全隐患，因充电系统设施设备原因造成的第三方损害，由乙方</w:t>
      </w: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负责赔偿并承担相关责任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5279C61">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（6）因非乙方原因造成的充电系统损坏或安全事故，由造成充电系统损坏或安全事故的责任者承担责任，乙方负责修复，乙方有权要求责任者承担维修费用（差旅费、劳务费、工料费等）并承担赔偿责任。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因乙方原因或者</w:t>
      </w:r>
      <w:r>
        <w:rPr>
          <w:rFonts w:hint="eastAsia" w:ascii="仿宋_GB2312" w:hAnsi="仿宋_GB2312" w:eastAsia="仿宋_GB2312" w:cs="仿宋_GB2312"/>
          <w:color w:val="000000" w:themeColor="text1"/>
          <w:sz w:val="32"/>
          <w:szCs w:val="32"/>
          <w:highlight w:val="none"/>
          <w14:textFill>
            <w14:solidFill>
              <w14:schemeClr w14:val="tx1"/>
            </w14:solidFill>
          </w14:textFill>
        </w:rPr>
        <w:t>由不可抗力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等情形</w:t>
      </w:r>
      <w:r>
        <w:rPr>
          <w:rFonts w:hint="eastAsia" w:ascii="仿宋_GB2312" w:hAnsi="仿宋_GB2312" w:eastAsia="仿宋_GB2312" w:cs="仿宋_GB2312"/>
          <w:color w:val="000000" w:themeColor="text1"/>
          <w:sz w:val="32"/>
          <w:szCs w:val="32"/>
          <w:highlight w:val="none"/>
          <w14:textFill>
            <w14:solidFill>
              <w14:schemeClr w14:val="tx1"/>
            </w14:solidFill>
          </w14:textFill>
        </w:rPr>
        <w:t>造成的损坏，乙方自行承担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0372BB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（7）乙方在施工过程中应尽量减少破坏绿化地和路面开挖，路面开挖需采取可靠措施确保地下管线功能和安全。若确实需要破坏，施工完必须将破坏的绿化地、路面和埋地管线修复。</w:t>
      </w:r>
    </w:p>
    <w:p w14:paraId="0066509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（8）在协议有效期内,如充电桩配套设施或设备出现故障,乙方应在接到甲方通知后的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小时</w:t>
      </w:r>
      <w:r>
        <w:rPr>
          <w:rFonts w:hint="eastAsia" w:ascii="仿宋_GB2312" w:hAnsi="仿宋_GB2312" w:eastAsia="仿宋_GB2312" w:cs="仿宋_GB2312"/>
          <w:color w:val="000000" w:themeColor="text1"/>
          <w:sz w:val="32"/>
          <w:szCs w:val="32"/>
          <w:highlight w:val="none"/>
          <w14:textFill>
            <w14:solidFill>
              <w14:schemeClr w14:val="tx1"/>
            </w14:solidFill>
          </w14:textFill>
        </w:rPr>
        <w:t>内响应,并在</w:t>
      </w:r>
      <w:r>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t>24</w:t>
      </w:r>
      <w:r>
        <w:rPr>
          <w:rFonts w:hint="eastAsia" w:ascii="仿宋_GB2312" w:hAnsi="仿宋_GB2312" w:eastAsia="仿宋_GB2312" w:cs="仿宋_GB2312"/>
          <w:color w:val="000000" w:themeColor="text1"/>
          <w:sz w:val="32"/>
          <w:szCs w:val="32"/>
          <w:highlight w:val="none"/>
          <w14:textFill>
            <w14:solidFill>
              <w14:schemeClr w14:val="tx1"/>
            </w14:solidFill>
          </w14:textFill>
        </w:rPr>
        <w:t>小时内到达现场进行维修。如乙方未按甲方要求及时提供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维修</w:t>
      </w:r>
      <w:r>
        <w:rPr>
          <w:rFonts w:hint="eastAsia" w:ascii="仿宋_GB2312" w:hAnsi="仿宋_GB2312" w:eastAsia="仿宋_GB2312" w:cs="仿宋_GB2312"/>
          <w:color w:val="000000" w:themeColor="text1"/>
          <w:sz w:val="32"/>
          <w:szCs w:val="32"/>
          <w:highlight w:val="none"/>
          <w14:textFill>
            <w14:solidFill>
              <w14:schemeClr w14:val="tx1"/>
            </w14:solidFill>
          </w14:textFill>
        </w:rPr>
        <w:t>，甲方有权自行维修或者委托第三方维修，所支出的维修费用及因此造成甲方的损失由乙方承担，乙方还需按照维修费用的30%向甲方支付违约金。</w:t>
      </w:r>
    </w:p>
    <w:p w14:paraId="394C7E6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（9）项目终止时，乙方必须结清电费、服务费及违约金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若有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，否则，产生的一切责任和损失由乙方承担。</w:t>
      </w:r>
    </w:p>
    <w:p w14:paraId="64B54492">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乙方不得擅自</w:t>
      </w:r>
      <w:r>
        <w:rPr>
          <w:rFonts w:hint="eastAsia" w:ascii="仿宋_GB2312" w:hAnsi="仿宋_GB2312" w:eastAsia="仿宋_GB2312" w:cs="仿宋_GB2312"/>
          <w:color w:val="000000" w:themeColor="text1"/>
          <w:sz w:val="32"/>
          <w:szCs w:val="32"/>
          <w:highlight w:val="none"/>
          <w14:textFill>
            <w14:solidFill>
              <w14:schemeClr w14:val="tx1"/>
            </w14:solidFill>
          </w14:textFill>
        </w:rPr>
        <w:t>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本项目建设运营</w:t>
      </w:r>
      <w:r>
        <w:rPr>
          <w:rFonts w:hint="eastAsia" w:ascii="仿宋_GB2312" w:hAnsi="仿宋_GB2312" w:eastAsia="仿宋_GB2312" w:cs="仿宋_GB2312"/>
          <w:color w:val="000000" w:themeColor="text1"/>
          <w:sz w:val="32"/>
          <w:szCs w:val="32"/>
          <w:highlight w:val="none"/>
          <w14:textFill>
            <w14:solidFill>
              <w14:schemeClr w14:val="tx1"/>
            </w14:solidFill>
          </w14:textFill>
        </w:rPr>
        <w:t>权转包给第三方。</w:t>
      </w:r>
    </w:p>
    <w:p w14:paraId="509A8A3A">
      <w:pPr>
        <w:pStyle w:val="2"/>
        <w:keepNext w:val="0"/>
        <w:keepLines w:val="0"/>
        <w:pageBreakBefore w:val="0"/>
        <w:widowControl/>
        <w:overflowPunct/>
        <w:topLinePunct w:val="0"/>
        <w:autoSpaceDE w:val="0"/>
        <w:bidi w:val="0"/>
        <w:adjustRightInd w:val="0"/>
        <w:snapToGrid w:val="0"/>
        <w:spacing w:line="480" w:lineRule="exact"/>
        <w:textAlignment w:val="baseline"/>
        <w:rPr>
          <w:rFonts w:hint="eastAsia"/>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Cs w:val="0"/>
          <w:color w:val="000000" w:themeColor="text1"/>
          <w:sz w:val="32"/>
          <w:szCs w:val="32"/>
          <w:highlight w:val="none"/>
          <w:lang w:eastAsia="en-US"/>
          <w14:textFill>
            <w14:solidFill>
              <w14:schemeClr w14:val="tx1"/>
            </w14:solidFill>
          </w14:textFill>
        </w:rPr>
        <w:t>（</w:t>
      </w:r>
      <w:r>
        <w:rPr>
          <w:rFonts w:hint="eastAsia" w:ascii="仿宋_GB2312" w:hAnsi="仿宋_GB2312" w:eastAsia="仿宋_GB2312" w:cs="仿宋_GB2312"/>
          <w:bCs w:val="0"/>
          <w:color w:val="000000" w:themeColor="text1"/>
          <w:sz w:val="32"/>
          <w:szCs w:val="32"/>
          <w:highlight w:val="none"/>
          <w:lang w:val="en-US" w:eastAsia="en-US"/>
          <w14:textFill>
            <w14:solidFill>
              <w14:schemeClr w14:val="tx1"/>
            </w14:solidFill>
          </w14:textFill>
        </w:rPr>
        <w:t>11</w:t>
      </w:r>
      <w:r>
        <w:rPr>
          <w:rFonts w:hint="eastAsia" w:ascii="仿宋_GB2312" w:hAnsi="仿宋_GB2312" w:eastAsia="仿宋_GB2312" w:cs="仿宋_GB2312"/>
          <w:bCs w:val="0"/>
          <w:color w:val="000000" w:themeColor="text1"/>
          <w:sz w:val="32"/>
          <w:szCs w:val="32"/>
          <w:highlight w:val="none"/>
          <w:lang w:eastAsia="en-US"/>
          <w14:textFill>
            <w14:solidFill>
              <w14:schemeClr w14:val="tx1"/>
            </w14:solidFill>
          </w14:textFill>
        </w:rPr>
        <w:t>）</w:t>
      </w:r>
      <w:r>
        <w:rPr>
          <w:rFonts w:hint="eastAsia" w:ascii="仿宋_GB2312" w:hAnsi="仿宋_GB2312" w:eastAsia="仿宋_GB2312" w:cs="仿宋_GB2312"/>
          <w:bCs w:val="0"/>
          <w:color w:val="000000" w:themeColor="text1"/>
          <w:sz w:val="32"/>
          <w:szCs w:val="32"/>
          <w:highlight w:val="none"/>
          <w:lang w:val="en-US" w:eastAsia="en-US"/>
          <w14:textFill>
            <w14:solidFill>
              <w14:schemeClr w14:val="tx1"/>
            </w14:solidFill>
          </w14:textFill>
        </w:rPr>
        <w:t>乙方作为本</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电动自行车停放充电场所的运营管理单位</w:t>
      </w:r>
      <w:r>
        <w:rPr>
          <w:rFonts w:hint="eastAsia" w:ascii="仿宋_GB2312" w:hAnsi="仿宋_GB2312" w:eastAsia="仿宋_GB2312" w:cs="仿宋_GB2312"/>
          <w:bCs w:val="0"/>
          <w:color w:val="000000" w:themeColor="text1"/>
          <w:sz w:val="32"/>
          <w:szCs w:val="32"/>
          <w:highlight w:val="none"/>
          <w:lang w:eastAsia="en-US"/>
          <w14:textFill>
            <w14:solidFill>
              <w14:schemeClr w14:val="tx1"/>
            </w14:solidFill>
          </w14:textFill>
        </w:rPr>
        <w:t>，</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应采取设置宣传栏、张贴宣传海报、定期发送宣传提示信息、组织电动自行车火灾现场警示教育、开展专题培训等方式，每半年至少开展1次电动自行车火灾防范的消防宣传教育工作。</w:t>
      </w:r>
    </w:p>
    <w:p w14:paraId="7B972B5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3.其他有关事项：</w:t>
      </w:r>
    </w:p>
    <w:p w14:paraId="5E96121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（1）合作期内，如因国家政策调整、政府要求等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非甲方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因素导致协议无法履行的，经协商后可提前终止本协议，双方互不承担责任。</w:t>
      </w:r>
    </w:p>
    <w:p w14:paraId="445618E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双方协商</w:t>
      </w:r>
      <w:r>
        <w:rPr>
          <w:rFonts w:hint="eastAsia" w:ascii="仿宋_GB2312" w:hAnsi="仿宋_GB2312" w:eastAsia="仿宋_GB2312" w:cs="仿宋_GB2312"/>
          <w:color w:val="000000" w:themeColor="text1"/>
          <w:sz w:val="32"/>
          <w:szCs w:val="32"/>
          <w:highlight w:val="none"/>
          <w14:textFill>
            <w14:solidFill>
              <w14:schemeClr w14:val="tx1"/>
            </w14:solidFill>
          </w14:textFill>
        </w:rPr>
        <w:t>协议终止或合作期满不再续约的，本协议项下的所有设施、设备由乙方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拆除、</w:t>
      </w:r>
      <w:r>
        <w:rPr>
          <w:rFonts w:hint="eastAsia" w:ascii="仿宋_GB2312" w:hAnsi="仿宋_GB2312" w:eastAsia="仿宋_GB2312" w:cs="仿宋_GB2312"/>
          <w:color w:val="000000" w:themeColor="text1"/>
          <w:sz w:val="32"/>
          <w:szCs w:val="32"/>
          <w:highlight w:val="none"/>
          <w14:textFill>
            <w14:solidFill>
              <w14:schemeClr w14:val="tx1"/>
            </w14:solidFill>
          </w14:textFill>
        </w:rPr>
        <w:t>收回。乙方应于协议终止或合作期满后7个工作日内，将场地清理恢复原状后交还甲方。</w:t>
      </w:r>
    </w:p>
    <w:p w14:paraId="6CA38BB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出现因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乙方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原因导致本协议终止，或乙方单方违约、暂停服务、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中途退出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等情形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乙方须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保证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充电桩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服务的连续性，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不得擅自停止充电服务、拆除移动充电设施、设备，保障甲方及园区企业可正常使用充电桩运营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待甲方委托新运营方，新旧运营方完成交接后，乙方在3日内</w:t>
      </w:r>
      <w:r>
        <w:rPr>
          <w:rFonts w:hint="eastAsia" w:ascii="仿宋_GB2312" w:hAnsi="仿宋_GB2312" w:eastAsia="仿宋_GB2312" w:cs="仿宋_GB2312"/>
          <w:color w:val="000000" w:themeColor="text1"/>
          <w:sz w:val="32"/>
          <w:szCs w:val="32"/>
          <w:highlight w:val="none"/>
          <w14:textFill>
            <w14:solidFill>
              <w14:schemeClr w14:val="tx1"/>
            </w14:solidFill>
          </w14:textFill>
        </w:rPr>
        <w:t>将场地清理恢复原状后交还甲方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7B656983">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第七条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违约责任</w:t>
      </w:r>
    </w:p>
    <w:p w14:paraId="755C66A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1.甲、乙双方各自承担对另外一方商业秘密的保密义务,商业秘密包括</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本协议所述的内容和充电平台相关信息,非经书面许可在任何时候均不得向第三方披露另外一方的商业秘密。若违反本条规定,责任方应赔偿对方因此遭受的全部损失。</w:t>
      </w:r>
    </w:p>
    <w:p w14:paraId="51035A3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2.乙方应按协议约定及时足额支付电费及服务费，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否则</w:t>
      </w:r>
      <w:r>
        <w:rPr>
          <w:rFonts w:hint="eastAsia" w:ascii="仿宋_GB2312" w:hAnsi="仿宋_GB2312" w:eastAsia="仿宋_GB2312" w:cs="仿宋_GB2312"/>
          <w:color w:val="000000" w:themeColor="text1"/>
          <w:sz w:val="32"/>
          <w:szCs w:val="32"/>
          <w:highlight w:val="none"/>
          <w14:textFill>
            <w14:solidFill>
              <w14:schemeClr w14:val="tx1"/>
            </w14:solidFill>
          </w14:textFill>
        </w:rPr>
        <w:t>每逾期一天，乙方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32"/>
          <w:szCs w:val="32"/>
          <w:highlight w:val="none"/>
          <w14:textFill>
            <w14:solidFill>
              <w14:schemeClr w14:val="tx1"/>
            </w14:solidFill>
          </w14:textFill>
        </w:rPr>
        <w:t>按欠付费用的万分之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五向甲方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支付违约金。逾期超过一个月，甲方有权提前终止协议，并要求乙方赔偿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欠付费用</w:t>
      </w:r>
      <w:r>
        <w:rPr>
          <w:rFonts w:hint="eastAsia" w:ascii="仿宋_GB2312" w:hAnsi="仿宋_GB2312" w:eastAsia="仿宋_GB2312" w:cs="仿宋_GB2312"/>
          <w:color w:val="000000" w:themeColor="text1"/>
          <w:sz w:val="32"/>
          <w:szCs w:val="32"/>
          <w:highlight w:val="none"/>
          <w14:textFill>
            <w14:solidFill>
              <w14:schemeClr w14:val="tx1"/>
            </w14:solidFill>
          </w14:textFill>
        </w:rPr>
        <w:t>的30%作为违约金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并由乙方承担违约责任。</w:t>
      </w:r>
    </w:p>
    <w:p w14:paraId="272E4551">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3.有下列情况之一的，甲方有权提前终止协议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并没收保证金，如保证金不足以弥补损失，甲方有权要求乙方在5日内补足</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0538217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（1）未经甲方同意，乙方擅自提高充电收费标准或缩短充电时间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等弄虚作假行为</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p>
    <w:p w14:paraId="57C6B902">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（2）乙方接到报修未履行维修责任，导致充电设备长期损坏，影响用户正常使用，且此种情形出现3次以上的。</w:t>
      </w:r>
    </w:p>
    <w:p w14:paraId="4E7B029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（3）乙方未经甲方同意，擅自转让充电设备的。</w:t>
      </w:r>
    </w:p>
    <w:p w14:paraId="156F75B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（4）乙方擅自在甲方管理区域内进行违法活动及严重违反甲方管理规定的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5188CE2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（5）乙方拖欠电费、服务费30日以上的。</w:t>
      </w:r>
    </w:p>
    <w:p w14:paraId="06B58B0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）乙方违反本协议约定，经甲方催告后仍未整改的。</w:t>
      </w:r>
    </w:p>
    <w:p w14:paraId="412BC3E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4.因违约造成的损失，由违约方向守约方承担赔偿责任，赔偿的范围包括守约方因违约行为支付的律师费、诉讼费、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公告</w:t>
      </w:r>
      <w:r>
        <w:rPr>
          <w:rFonts w:hint="eastAsia" w:ascii="仿宋_GB2312" w:hAnsi="仿宋_GB2312" w:eastAsia="仿宋_GB2312" w:cs="仿宋_GB2312"/>
          <w:color w:val="000000" w:themeColor="text1"/>
          <w:sz w:val="32"/>
          <w:szCs w:val="32"/>
          <w:highlight w:val="none"/>
          <w14:textFill>
            <w14:solidFill>
              <w14:schemeClr w14:val="tx1"/>
            </w14:solidFill>
          </w14:textFill>
        </w:rPr>
        <w:t>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、公证费、保全费</w:t>
      </w:r>
      <w:r>
        <w:rPr>
          <w:rFonts w:hint="eastAsia" w:ascii="仿宋_GB2312" w:hAnsi="仿宋_GB2312" w:eastAsia="仿宋_GB2312" w:cs="仿宋_GB2312"/>
          <w:color w:val="000000" w:themeColor="text1"/>
          <w:sz w:val="32"/>
          <w:szCs w:val="32"/>
          <w:highlight w:val="none"/>
          <w14:textFill>
            <w14:solidFill>
              <w14:schemeClr w14:val="tx1"/>
            </w14:solidFill>
          </w14:textFill>
        </w:rPr>
        <w:t>、调查取证费、差旅费及其他为获得违约赔偿支出的一切费用。</w:t>
      </w:r>
    </w:p>
    <w:p w14:paraId="53D68BAC">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第八条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争议解决</w:t>
      </w:r>
    </w:p>
    <w:p w14:paraId="3071F29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1.本协议如有争议及异议，双方应通过协商解决，如协商不成，提交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所在地人民法院诉讼解决；</w:t>
      </w:r>
    </w:p>
    <w:p w14:paraId="55DDCF6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2.本协议未涉及部分，均按《中华人民共和国民法典》及其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highlight w:val="none"/>
          <w14:textFill>
            <w14:solidFill>
              <w14:schemeClr w14:val="tx1"/>
            </w14:solidFill>
          </w14:textFill>
        </w:rPr>
        <w:t>相关法律法规的有关规定执行。</w:t>
      </w:r>
    </w:p>
    <w:p w14:paraId="4747D674">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第九条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不可抗力</w:t>
      </w:r>
    </w:p>
    <w:p w14:paraId="7C2E30A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1.本协议定义不可抗力条件为战争、地震、严重的水灾、台风、火灾、雷灾以及其它双方同意的人力不可抗拒的超自然因素。</w:t>
      </w:r>
    </w:p>
    <w:p w14:paraId="20EC859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2.任何一方因不可抗力以致不能完全履行本协议项下的义务时，将免除其不履约或因此延期履约的责任。</w:t>
      </w:r>
    </w:p>
    <w:p w14:paraId="45DCA75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3.因为不可抗力导致技术故障，进而影响服务的不能履行或履行延误，双方均不承担责任，但</w:t>
      </w:r>
      <w:r>
        <w:rPr>
          <w:rFonts w:ascii="仿宋_GB2312" w:hAnsi="仿宋_GB2312" w:eastAsia="仿宋_GB2312" w:cs="仿宋_GB2312"/>
          <w:color w:val="000000" w:themeColor="text1"/>
          <w:sz w:val="32"/>
          <w:highlight w:val="none"/>
          <w14:textFill>
            <w14:solidFill>
              <w14:schemeClr w14:val="tx1"/>
            </w14:solidFill>
          </w14:textFill>
        </w:rPr>
        <w:t>应当及时通知对方，以减轻可能给对方造成的损失</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355E775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4.不可抗力事件发生后的协议履约或延期履约间隔，由双方根据实际情况另行商定。</w:t>
      </w:r>
    </w:p>
    <w:p w14:paraId="2DC25A5D">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第十条</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其他</w:t>
      </w:r>
    </w:p>
    <w:p w14:paraId="182B8F8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1.本协议生效后，任何一方提出不与本协议相抵触的修改时，经双方协商一致后，可签订补充协议，补充协议与本协议具有同等效力。</w:t>
      </w:r>
    </w:p>
    <w:p w14:paraId="39E2DF7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2.本协议经双方盖章签字后生效。</w:t>
      </w:r>
    </w:p>
    <w:p w14:paraId="118AAA3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3.本协议一式肆份，甲、乙双方各执贰份，具有同等法律效力。</w:t>
      </w:r>
    </w:p>
    <w:p w14:paraId="42F5E87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51B2645">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企业安全生产管理协议书</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766294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13CB6E2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2487AD20">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甲方（盖章）：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乙方（盖章）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2F233BC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2F6337D9">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授权代表（签字）：</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授权代表（签字）：</w:t>
      </w:r>
    </w:p>
    <w:p w14:paraId="50CEE41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271AB9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86DA146">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sectPr>
          <w:footerReference r:id="rId5" w:type="default"/>
          <w:pgSz w:w="11906" w:h="16839"/>
          <w:pgMar w:top="1440" w:right="1519" w:bottom="1440" w:left="1519" w:header="0" w:footer="986" w:gutter="0"/>
          <w:pgNumType w:fmt="decimalFullWidth"/>
          <w:cols w:space="0" w:num="1"/>
          <w:rtlGutter w:val="0"/>
          <w:docGrid w:linePitch="0" w:charSpace="0"/>
        </w:sectPr>
      </w:pPr>
      <w:r>
        <w:rPr>
          <w:rFonts w:hint="eastAsia" w:ascii="仿宋_GB2312" w:hAnsi="仿宋_GB2312" w:eastAsia="仿宋_GB2312" w:cs="仿宋_GB2312"/>
          <w:color w:val="000000" w:themeColor="text1"/>
          <w:sz w:val="32"/>
          <w:szCs w:val="32"/>
          <w:highlight w:val="none"/>
          <w14:textFill>
            <w14:solidFill>
              <w14:schemeClr w14:val="tx1"/>
            </w14:solidFill>
          </w14:textFill>
        </w:rPr>
        <w:t>签约地：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厦门市湖里区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签订时间：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年   月   日</w:t>
      </w:r>
    </w:p>
    <w:p w14:paraId="48177FC7">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w:t>
      </w:r>
    </w:p>
    <w:p w14:paraId="3F1BF963">
      <w:pPr>
        <w:keepNext w:val="0"/>
        <w:keepLines w:val="0"/>
        <w:pageBreakBefore w:val="0"/>
        <w:widowControl/>
        <w:kinsoku/>
        <w:wordWrap w:val="0"/>
        <w:overflowPunct/>
        <w:topLinePunct w:val="0"/>
        <w:autoSpaceDE w:val="0"/>
        <w:autoSpaceDN/>
        <w:bidi w:val="0"/>
        <w:adjustRightInd w:val="0"/>
        <w:snapToGrid w:val="0"/>
        <w:spacing w:line="480" w:lineRule="exact"/>
        <w:jc w:val="center"/>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企业安全生产管理协议书</w:t>
      </w:r>
    </w:p>
    <w:p w14:paraId="73B0E11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3C18146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根据《中华人民共和国安全生产法》《中华人民共和国消防法》等法律、法规规定，为加强安全管理工作，确保双方的生命财产安全及公共安全，明确双方的责任及义务，认真贯彻执行“安全第一、预防为主、综合治理”的方针，经甲乙双方共同协商，特签订本协议，共同遵照执行。</w:t>
      </w:r>
    </w:p>
    <w:p w14:paraId="2CE679D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甲乙双方在《电动自行车充电桩建设运营合作协议》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（以下简称“合作协议”）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签订前，乙方应考察现场，并核实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设计类别、荷载、消防验收证明、用途等资料或数据，充分评估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建筑、结构、消防设施等。乙方确认满足乙方安全生产需要，甲方按现状移交，乙方承诺不会超设计范围、约定用途使用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48AB5F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乙方应按规定办理安全生产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highlight w:val="none"/>
          <w14:textFill>
            <w14:solidFill>
              <w14:schemeClr w14:val="tx1"/>
            </w14:solidFill>
          </w14:textFill>
        </w:rPr>
        <w:t>电动自行车充电桩建设运营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相关手续，并按照国家有关安全、消防、环保等法律法规要求进行改造及提升，不得破坏房屋主体建筑及结构安全，完工后必须经过消防、环保等部门验收合格才能使用；因未办理相关手续产生的后续问题由乙方全部负责，因此造成的一切损失及费用，均由乙方承担。乙方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w:t>
      </w:r>
      <w:r>
        <w:rPr>
          <w:rFonts w:hint="eastAsia" w:ascii="仿宋_GB2312" w:hAnsi="仿宋_GB2312" w:eastAsia="仿宋_GB2312" w:cs="仿宋_GB2312"/>
          <w:color w:val="000000" w:themeColor="text1"/>
          <w:sz w:val="32"/>
          <w:szCs w:val="32"/>
          <w:highlight w:val="none"/>
          <w14:textFill>
            <w14:solidFill>
              <w14:schemeClr w14:val="tx1"/>
            </w14:solidFill>
          </w14:textFill>
        </w:rPr>
        <w:t>过程中发现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无法满足电动自行车充电桩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建设运营</w:t>
      </w:r>
      <w:r>
        <w:rPr>
          <w:rFonts w:hint="eastAsia" w:ascii="仿宋_GB2312" w:hAnsi="仿宋_GB2312" w:eastAsia="仿宋_GB2312" w:cs="仿宋_GB2312"/>
          <w:color w:val="000000" w:themeColor="text1"/>
          <w:sz w:val="32"/>
          <w:szCs w:val="32"/>
          <w:highlight w:val="none"/>
          <w14:textFill>
            <w14:solidFill>
              <w14:schemeClr w14:val="tx1"/>
            </w14:solidFill>
          </w14:textFill>
        </w:rPr>
        <w:t>要求时，应向甲方申请解除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并提供相关说明及材料，经甲方同意后，可解除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，双方互不追究违约责任，甲方不赔偿乙方已投入的装修及其他费用，乙方按照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相关条款办理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的移交。</w:t>
      </w:r>
    </w:p>
    <w:p w14:paraId="5D8AB97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应具备有关法律、行政法规和国家标准或行业标准规定的安全生产条件，不具备安全生产条件的，不得在园区内从事生产经营活动。因乙方不具备安全生产条件或乙方违反本协议任一约定，且经甲方两次以上通知要求限期整改未整改完成的，甲方有权解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，乙方的责任按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及本协议的约定处理。</w:t>
      </w:r>
    </w:p>
    <w:p w14:paraId="18C12C5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在同一作业区内，若有两个以上生产经营单位进行生产经营活动的，可能危及安全生产的，由甲方或甲方委托的物业管理公司监督该作业区域内的生产经营单位签订安全生产管理协议，明确各自的安全职责和应采取的安全措施，并指定专职安全生产管理人员进行安全检查与协调。乙方应主动告知甲方、相邻方生产经营中的可能存在的危险源等。不服从管理或隐瞒不告知危险源的，由此产生的安全责任由乙方负责。</w:t>
      </w:r>
    </w:p>
    <w:p w14:paraId="51823F0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甲方或甲方委托的物业管理公司有权对乙方在本协议项下的安全生产活动进行日常监督及管理。</w:t>
      </w:r>
    </w:p>
    <w:p w14:paraId="6A1412F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充电桩</w:t>
      </w:r>
      <w:r>
        <w:rPr>
          <w:rFonts w:hint="eastAsia" w:ascii="仿宋_GB2312" w:hAnsi="仿宋_GB2312" w:eastAsia="仿宋_GB2312" w:cs="仿宋_GB2312"/>
          <w:color w:val="000000" w:themeColor="text1"/>
          <w:sz w:val="32"/>
          <w:szCs w:val="32"/>
          <w:highlight w:val="none"/>
          <w14:textFill>
            <w14:solidFill>
              <w14:schemeClr w14:val="tx1"/>
            </w14:solidFill>
          </w14:textFill>
        </w:rPr>
        <w:t>设备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应符合以下</w:t>
      </w:r>
      <w:r>
        <w:rPr>
          <w:rFonts w:hint="eastAsia" w:ascii="仿宋_GB2312" w:hAnsi="仿宋_GB2312" w:eastAsia="仿宋_GB2312" w:cs="仿宋_GB2312"/>
          <w:color w:val="000000" w:themeColor="text1"/>
          <w:sz w:val="32"/>
          <w:szCs w:val="32"/>
          <w:highlight w:val="none"/>
          <w14:textFill>
            <w14:solidFill>
              <w14:schemeClr w14:val="tx1"/>
            </w14:solidFill>
          </w14:textFill>
        </w:rPr>
        <w:t>要求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4A2CDB67">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.安全防护:智能充电管控充满自断，短路、过载、空载保护，充电异常、高温等故障以短信、微信、APP</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等方式</w:t>
      </w:r>
      <w:r>
        <w:rPr>
          <w:rFonts w:hint="eastAsia" w:ascii="仿宋_GB2312" w:hAnsi="仿宋_GB2312" w:eastAsia="仿宋_GB2312" w:cs="仿宋_GB2312"/>
          <w:color w:val="000000" w:themeColor="text1"/>
          <w:sz w:val="32"/>
          <w:szCs w:val="32"/>
          <w:highlight w:val="none"/>
          <w14:textFill>
            <w14:solidFill>
              <w14:schemeClr w14:val="tx1"/>
            </w14:solidFill>
          </w14:textFill>
        </w:rPr>
        <w:t>推送告警。</w:t>
      </w:r>
    </w:p>
    <w:p w14:paraId="2C8B68B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.断电记忆:当进线电源异常断电，来电后充电桩可以继续使用剩余的时间充电。</w:t>
      </w:r>
    </w:p>
    <w:p w14:paraId="2AC2BD11">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.安全监控:监控电瓶车充电状态，检测变压器负荷并对充电桩功率控制。</w:t>
      </w:r>
    </w:p>
    <w:p w14:paraId="4EF98FB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.管理平台:负责平台和充电桩的正常运行，包括充电桩接入、集中监控、异常管控、参数配置、远程控制等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6142589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.管理模式:实时监控充电站\离散桩的状态。终端用户可通过扫码等方式进行充电，支持在线支付进行结算。</w:t>
      </w:r>
    </w:p>
    <w:p w14:paraId="6B99A97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.移动端:提供给车主使用,可以提供账户充值(支付宝/微信)智能寻桩、实时监控充电情况、充电支付等功能。</w:t>
      </w:r>
    </w:p>
    <w:p w14:paraId="30FFDDB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.所用设备、材料、电气元器件等应选用符合国家标准的产品，如国家标准调整则相关设施应做相应的调整或更新。</w:t>
      </w:r>
    </w:p>
    <w:p w14:paraId="75254B98">
      <w:pPr>
        <w:keepNext w:val="0"/>
        <w:keepLines w:val="0"/>
        <w:pageBreakBefore w:val="0"/>
        <w:widowControl/>
        <w:kinsoku/>
        <w:wordWrap w:val="0"/>
        <w:overflowPunct/>
        <w:topLinePunct w:val="0"/>
        <w:autoSpaceDE w:val="0"/>
        <w:autoSpaceDN/>
        <w:bidi w:val="0"/>
        <w:adjustRightInd w:val="0"/>
        <w:snapToGrid w:val="0"/>
        <w:spacing w:line="480" w:lineRule="exact"/>
        <w:ind w:firstLine="643" w:firstLineChars="200"/>
        <w:jc w:val="both"/>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配套设施及安全措施</w:t>
      </w:r>
    </w:p>
    <w:p w14:paraId="6F77976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乙方在</w:t>
      </w:r>
      <w:r>
        <w:rPr>
          <w:rFonts w:hint="eastAsia" w:ascii="仿宋_GB2312" w:hAnsi="仿宋_GB2312" w:eastAsia="仿宋_GB2312" w:cs="仿宋_GB2312"/>
          <w:color w:val="000000" w:themeColor="text1"/>
          <w:sz w:val="32"/>
          <w:szCs w:val="32"/>
          <w:highlight w:val="none"/>
          <w14:textFill>
            <w14:solidFill>
              <w14:schemeClr w14:val="tx1"/>
            </w14:solidFill>
          </w14:textFill>
        </w:rPr>
        <w:t>场地设立用于充电停车区指示、引导、说明的标识、标牌和停放区域必要的监控、消防和照明设施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确保停车区改造的安全生产、文明施工和工程质量。</w:t>
      </w:r>
    </w:p>
    <w:p w14:paraId="398DC58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乙方</w:t>
      </w:r>
      <w:r>
        <w:rPr>
          <w:rFonts w:hint="eastAsia" w:ascii="仿宋_GB2312" w:hAnsi="仿宋_GB2312" w:eastAsia="仿宋_GB2312" w:cs="仿宋_GB2312"/>
          <w:color w:val="000000" w:themeColor="text1"/>
          <w:sz w:val="32"/>
          <w:szCs w:val="32"/>
          <w:highlight w:val="none"/>
          <w14:textFill>
            <w14:solidFill>
              <w14:schemeClr w14:val="tx1"/>
            </w14:solidFill>
          </w14:textFill>
        </w:rPr>
        <w:t>确保场地内的充电及配套电气设备的安全接地，避免发生漏电、触电等安全事故。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乙</w:t>
      </w:r>
      <w:r>
        <w:rPr>
          <w:rFonts w:hint="eastAsia" w:ascii="仿宋_GB2312" w:hAnsi="仿宋_GB2312" w:eastAsia="仿宋_GB2312" w:cs="仿宋_GB2312"/>
          <w:color w:val="000000" w:themeColor="text1"/>
          <w:sz w:val="32"/>
          <w:szCs w:val="32"/>
          <w:highlight w:val="none"/>
          <w14:textFill>
            <w14:solidFill>
              <w14:schemeClr w14:val="tx1"/>
            </w14:solidFill>
          </w14:textFill>
        </w:rPr>
        <w:t>方须对充电设施投保公共责任险。</w:t>
      </w:r>
    </w:p>
    <w:p w14:paraId="59DC939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3.因设施及配套设备质量问题导致的人员伤亡或财产损失责任由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乙</w:t>
      </w:r>
      <w:r>
        <w:rPr>
          <w:rFonts w:hint="eastAsia" w:ascii="仿宋_GB2312" w:hAnsi="仿宋_GB2312" w:eastAsia="仿宋_GB2312" w:cs="仿宋_GB2312"/>
          <w:color w:val="000000" w:themeColor="text1"/>
          <w:sz w:val="32"/>
          <w:szCs w:val="32"/>
          <w:highlight w:val="none"/>
          <w14:textFill>
            <w14:solidFill>
              <w14:schemeClr w14:val="tx1"/>
            </w14:solidFill>
          </w14:textFill>
        </w:rPr>
        <w:t>方承担。不当充电造成充电设施、设备损坏或安全问题的，由造成损坏或事故责任人承担责任，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乙</w:t>
      </w:r>
      <w:r>
        <w:rPr>
          <w:rFonts w:hint="eastAsia" w:ascii="仿宋_GB2312" w:hAnsi="仿宋_GB2312" w:eastAsia="仿宋_GB2312" w:cs="仿宋_GB2312"/>
          <w:color w:val="000000" w:themeColor="text1"/>
          <w:sz w:val="32"/>
          <w:szCs w:val="32"/>
          <w:highlight w:val="none"/>
          <w14:textFill>
            <w14:solidFill>
              <w14:schemeClr w14:val="tx1"/>
            </w14:solidFill>
          </w14:textFill>
        </w:rPr>
        <w:t>方负责修复，并有权要求责任人承担相关费用。</w:t>
      </w:r>
    </w:p>
    <w:p w14:paraId="3254E7D1">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乙方及乙方的主要负责人是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范围内的安全生产责任主体及第一责任单位，必须全面负责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场地使用</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范围内的安全管理、消防管理、环境保护等工作，并承诺遵守以下安全管理、消防管理、环境保护等约定以及法律、法规的要求：</w:t>
      </w:r>
    </w:p>
    <w:p w14:paraId="5C2DB84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（一）安全管理方面</w:t>
      </w:r>
    </w:p>
    <w:p w14:paraId="59FEFA2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（1）建立、健全并落实本单位全员安全生产责任制，加强安全生产标准化建设。</w:t>
      </w:r>
    </w:p>
    <w:p w14:paraId="06C27E2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（2）组织制定本单位安全生产规章制度和操作规程。</w:t>
      </w:r>
    </w:p>
    <w:p w14:paraId="74FE5312">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（3）组织制定并实施本单位的安全教育和培训计划。</w:t>
      </w:r>
    </w:p>
    <w:p w14:paraId="6755441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（4）组织建立并实施安全风险分级管控和隐患排查治理双重预防工作机制，检查本单位的安全生产工作，及时消除安全生产事故隐患。</w:t>
      </w:r>
    </w:p>
    <w:p w14:paraId="4D907F35">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（5）组织制定并实施本单位的生产安全事故应急预案。</w:t>
      </w:r>
    </w:p>
    <w:p w14:paraId="0CEE0BB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（6）及时、如实向有关各方报告生产安全事故，不得迟报、瞒报、谎报。</w:t>
      </w:r>
    </w:p>
    <w:p w14:paraId="7BA9499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（7）按照国家有关规定，设置安全管理机构或配备安全管理人员（专职或兼职）。</w:t>
      </w:r>
    </w:p>
    <w:p w14:paraId="4A718BE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8）主要负责人和安全生产管理人员，须具备与所从事的生产经营活动相适应的安全生产知识和管理能力，接受培训，做到持证上岗。针对自身的生产经营特点加强从业人员安全生产、特种设备安全使用的日常教育和培训，满足规定的学时，考核合格，提高职工安全防范意识。对新入岗、换岗人员或“新材料、新技术、新工艺”及使用新设备的从业人员应开展专门的安全生产教育和培训。特种作业人员必须按照国家有关规定经专门的安全作业培训，取得相应资格，持证上岗。</w:t>
      </w:r>
    </w:p>
    <w:p w14:paraId="24AF8D82">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（9）应在有较大危险的生产场所和有关设备、设施上设置明显安全警示标志。</w:t>
      </w:r>
    </w:p>
    <w:p w14:paraId="62A0598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（10）安全设备的设计、制造、安装、使用、检测、维修、改造和报废，应符合国家相关标准。定期对安全设备进行维护、保养、并定期检测，保证正常运转。</w:t>
      </w:r>
    </w:p>
    <w:p w14:paraId="10447182">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（11）生产经营单位生产过程中有涉及使用燃气等可燃气体的，应当安装可燃气体报警装置，并保障其正常使用。</w:t>
      </w:r>
    </w:p>
    <w:p w14:paraId="4B72125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（12）生产经营场所应当设置符合紧急疏散要求、标志明显、保持畅通的出口、疏通通道。禁止占用、锁闭、封堵生产经营场所的出口、疏散通道。</w:t>
      </w:r>
    </w:p>
    <w:p w14:paraId="65D59A9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（13）不得使用国家明令淘汰、禁止使用的危及生产安全的工艺品、设备等物品。</w:t>
      </w:r>
    </w:p>
    <w:p w14:paraId="2929A8C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（14）正在使用的特种设备应当经检验、检测、验收合格，从事特种设备作业人员应当具备相应的资格，并按规定进行年检和复审。</w:t>
      </w:r>
    </w:p>
    <w:p w14:paraId="3867FEA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15）定期组织安全生产检查工作。对检查中发现的安全问题，应当立即处理；不能处理的，应当及时向甲方或甲方委托的园区物业管理公司报告并采取措施确保安全。同时应当将每次的检查处理情况及时记录在案。</w:t>
      </w:r>
    </w:p>
    <w:p w14:paraId="087F978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16）应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负责现场施工安全的监督和管理并承担所有后果。由于乙方原因造成事故，甲方或甲方委托的园区物业管理公司不负任何责任，如甲方或甲方委托的园区物业管理公司对外承担责任，有权向乙方追偿。</w:t>
      </w:r>
    </w:p>
    <w:p w14:paraId="299D29E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（17）按照国家有关规定为从业人员提供符合国家标准或者行业标准的劳动保护用品，并监督、教育从业人员按照使用规则佩戴、使用。</w:t>
      </w:r>
    </w:p>
    <w:p w14:paraId="0228EFA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（18）针对自身的生产经营特点制定生产安全事故应急救援预案。按物业管理公司要求参加应急演练。</w:t>
      </w:r>
    </w:p>
    <w:p w14:paraId="3791719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（二）消防管理方面</w:t>
      </w:r>
    </w:p>
    <w:p w14:paraId="1A29C78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（1）严格遵守与消防相关的法律、法规规定及消防主管部门的各项消防管理规定。</w:t>
      </w:r>
    </w:p>
    <w:p w14:paraId="727D42D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建立消防安全责任制，制定消防安全制度和消防安全操作规程，加强从业人员消防安全教育和培训，提高员工“四个能力”，即检查火灾隐患能力、组织扑救初起火灾能力、组织人员疏散逃生能力、消防宣传教育培训能力，掌握使用消防栓、灭火器等消防设施，增强自防自救能力。指定专人作为消防安全管理人。</w:t>
      </w:r>
    </w:p>
    <w:p w14:paraId="58762CB5">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按照国家标准、行业标准配置消防栓、消防箱等消防设施及灭火器材，设置消防安全标志及应急照明灯，并按法规规范要求定期组织检验、维修，确保完好有效。同时应当将每次的检查、维修情况及时记录在案。</w:t>
      </w:r>
    </w:p>
    <w:p w14:paraId="3446630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（4）加强日常消防安全管理工作，严禁在楼道等消防通道堆放任何物品，保障消防通道、安全出口畅通。</w:t>
      </w:r>
    </w:p>
    <w:p w14:paraId="200A642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（5）严格落实执行消防安全检查制度，做到日常检查与重点检查相结合，发现火险隐患应当及时处理，并采取切实有效的临时措施消除。</w:t>
      </w:r>
    </w:p>
    <w:p w14:paraId="4D16D0A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（6）严禁生产、仓库、经营和住宿等场所设置在同一建筑物内的三合一现象存在。同时在未经甲方书面同意的情形下不得擅自拆除、搭盖任何建筑。</w:t>
      </w:r>
    </w:p>
    <w:p w14:paraId="7EF4749B">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（7）遵守用电安全的规定，消除安全隐患，设置安全用电警示标志。严禁违反规定私自接、拉电线和随意加大负荷或改变保险装置，对电线老化、超负荷用电事宜应当及时上报供电部门进行整改、维修。</w:t>
      </w:r>
    </w:p>
    <w:p w14:paraId="192B18C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（8）严禁违规用火、用气和存放不符合安全标准的易燃、易爆、剧毒、放射性等危险物品。依法应当进行消防验收的新建、改建、扩建、二次装修等工程项目，须经过消防部门验收合格后投入使用。</w:t>
      </w:r>
    </w:p>
    <w:p w14:paraId="5093C18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（三）环境保护方面</w:t>
      </w:r>
    </w:p>
    <w:p w14:paraId="515FB04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（1）应保证生产及研发符合环保要求，在排污、排气、噪音及使用放射性、腐蚀性物质等方面达到国家标准的规定，工业卫生控制指标符合相关法律、法规要求。</w:t>
      </w:r>
    </w:p>
    <w:p w14:paraId="1E792D2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（2）生产过程中产生工业固废处置应按相关环保安全要求处理，其中产生危险固废应按危险废物相关规定做好收集、储存并委托有资质单位进行无害化处理。</w:t>
      </w:r>
    </w:p>
    <w:p w14:paraId="5CDA7B49">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（3）在生产经营过程中产生生活垃圾按市政环保要求分类处理。</w:t>
      </w:r>
    </w:p>
    <w:p w14:paraId="378907D3">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应自觉接受并配合安全生产监督管理部门及甲方或甲方委托的园区物业管理公司的监督检查，对检查提出的问题（事故隐患）及时进行整改，并形成材料报甲方备案。如乙方存在严重违反本协议安全义务的行为，甲方或甲方委托的园区物业管理公司有权要求乙方立即停止相关行为，直至乙方整改完毕。</w:t>
      </w:r>
    </w:p>
    <w:p w14:paraId="622F416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范围内发现有任何可能危及人身和财产的情况发生时，应当迅速采取有效措施，组织抢救抢险，防止事故扩大并及时向甲方及其代理方报告。</w:t>
      </w:r>
    </w:p>
    <w:p w14:paraId="31C85F39">
      <w:pPr>
        <w:keepNext w:val="0"/>
        <w:keepLines w:val="0"/>
        <w:pageBreakBefore w:val="0"/>
        <w:widowControl/>
        <w:kinsoku/>
        <w:wordWrap w:val="0"/>
        <w:overflowPunct/>
        <w:topLinePunct w:val="0"/>
        <w:autoSpaceDE w:val="0"/>
        <w:autoSpaceDN/>
        <w:bidi w:val="0"/>
        <w:adjustRightInd w:val="0"/>
        <w:snapToGrid w:val="0"/>
        <w:spacing w:line="480" w:lineRule="exact"/>
        <w:ind w:firstLine="643" w:firstLineChars="200"/>
        <w:jc w:val="both"/>
        <w:textAlignment w:val="baseline"/>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安全管理责任</w:t>
      </w:r>
    </w:p>
    <w:p w14:paraId="686F77E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乙方应当依法承担管理责任，落实管理工作，采取必要措施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确保其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、人员人身及财产安全。在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内发生责任事故造成包括但不限于人员伤亡、员工或他人财产损失、火灾事故等事件的，乙方应当承担全部法律责任，情节严重的将移交司法机关追究有关人员的法律责任。同时由此给甲方及其代理方造成其他损失的（如名誉损失等），乙方应当承担赔偿责任。若因盗窃、抢劫等致乙方受损，该等损失由乙方自行承担，与甲方无涉。</w:t>
      </w:r>
    </w:p>
    <w:p w14:paraId="04A40CBA">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使用期间，甲方或甲方委托的园区物业管理公司及相关主管部门（如消防、环保、市监局等）有权进入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进行定期检查或必要时的不定期抽查乙方的消防、安全、污染以及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设施的使用情况，对乙方是否存在违规用火，私拉电线、留宿人员等安全隐患行为进行检查。上述安全检查并不减轻或免除乙方的责任，也不代表甲方需承担任何责任。若有安全隐患行为的，甲方或甲方委托的物业管理公司有权要求乙方进行整改。因乙方违反安全生产的相关规定、违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约定或超出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范围内使用甲方权属范围内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造成安全生产事故及损失的，乙方应承担全部法律责任。</w:t>
      </w:r>
    </w:p>
    <w:p w14:paraId="703592A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w:t>
      </w:r>
      <w:r>
        <w:rPr>
          <w:rFonts w:hint="eastAsia" w:ascii="仿宋_GB2312" w:hAnsi="仿宋_GB2312" w:eastAsia="仿宋_GB2312" w:cs="仿宋_GB2312"/>
          <w:color w:val="000000" w:themeColor="text1"/>
          <w:sz w:val="32"/>
          <w:szCs w:val="32"/>
          <w:highlight w:val="none"/>
          <w14:textFill>
            <w14:solidFill>
              <w14:schemeClr w14:val="tx1"/>
            </w14:solidFill>
          </w14:textFill>
        </w:rPr>
        <w:t>期限内，如乙方违反本协议任一条款约定，且在甲方要求书面整改通知书规定的期限内未整改到位的，甲方有权解除双方签订的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、没收保证金并追究相应违约责任。</w:t>
      </w:r>
    </w:p>
    <w:p w14:paraId="533682C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本协议系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的安全管理专项协议，与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合作协议</w:t>
      </w:r>
      <w:r>
        <w:rPr>
          <w:rFonts w:hint="eastAsia" w:ascii="仿宋_GB2312" w:hAnsi="仿宋_GB2312" w:eastAsia="仿宋_GB2312" w:cs="仿宋_GB2312"/>
          <w:color w:val="000000" w:themeColor="text1"/>
          <w:sz w:val="32"/>
          <w:szCs w:val="32"/>
          <w:highlight w:val="none"/>
          <w14:textFill>
            <w14:solidFill>
              <w14:schemeClr w14:val="tx1"/>
            </w14:solidFill>
          </w14:textFill>
        </w:rPr>
        <w:t>具有同等法律效力。</w:t>
      </w:r>
    </w:p>
    <w:p w14:paraId="48BCB3F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其他</w:t>
      </w:r>
    </w:p>
    <w:p w14:paraId="3CE69B3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本协议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自双方</w:t>
      </w:r>
      <w:r>
        <w:rPr>
          <w:rFonts w:hint="eastAsia" w:ascii="仿宋_GB2312" w:hAnsi="仿宋_GB2312" w:eastAsia="仿宋_GB2312" w:cs="仿宋_GB2312"/>
          <w:color w:val="000000" w:themeColor="text1"/>
          <w:sz w:val="32"/>
          <w:szCs w:val="32"/>
          <w:highlight w:val="none"/>
          <w14:textFill>
            <w14:solidFill>
              <w14:schemeClr w14:val="tx1"/>
            </w14:solidFill>
          </w14:textFill>
        </w:rPr>
        <w:t>盖章之日起生效，一式肆份，双方各执贰份，具有同等法律效力。</w:t>
      </w:r>
    </w:p>
    <w:p w14:paraId="429FAC7F">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本协议自乙方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将合作场地</w:t>
      </w:r>
      <w:r>
        <w:rPr>
          <w:rFonts w:hint="eastAsia" w:ascii="仿宋_GB2312" w:hAnsi="仿宋_GB2312" w:eastAsia="仿宋_GB2312" w:cs="仿宋_GB2312"/>
          <w:color w:val="000000" w:themeColor="text1"/>
          <w:sz w:val="32"/>
          <w:szCs w:val="32"/>
          <w:highlight w:val="none"/>
          <w14:textFill>
            <w14:solidFill>
              <w14:schemeClr w14:val="tx1"/>
            </w14:solidFill>
          </w14:textFill>
        </w:rPr>
        <w:t>实际腾退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归还甲方</w:t>
      </w:r>
      <w:r>
        <w:rPr>
          <w:rFonts w:hint="eastAsia" w:ascii="仿宋_GB2312" w:hAnsi="仿宋_GB2312" w:eastAsia="仿宋_GB2312" w:cs="仿宋_GB2312"/>
          <w:color w:val="000000" w:themeColor="text1"/>
          <w:sz w:val="32"/>
          <w:szCs w:val="32"/>
          <w:highlight w:val="none"/>
          <w14:textFill>
            <w14:solidFill>
              <w14:schemeClr w14:val="tx1"/>
            </w14:solidFill>
          </w14:textFill>
        </w:rPr>
        <w:t>之日终止。</w:t>
      </w:r>
    </w:p>
    <w:p w14:paraId="425F0530">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本协议未尽事项以法律法规及相关标准为准。</w:t>
      </w:r>
    </w:p>
    <w:p w14:paraId="5F1C9F65">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（以下无正文）</w:t>
      </w:r>
    </w:p>
    <w:p w14:paraId="4B356784">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F9E9AF6">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甲方（盖章）：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厦门火炬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高新区招商服务中心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有限公司</w:t>
      </w:r>
    </w:p>
    <w:p w14:paraId="2D497BC8">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58F3E5ED">
      <w:pPr>
        <w:keepNext w:val="0"/>
        <w:keepLines w:val="0"/>
        <w:pageBreakBefore w:val="0"/>
        <w:widowControl/>
        <w:kinsoku/>
        <w:wordWrap w:val="0"/>
        <w:overflowPunct/>
        <w:topLinePunct w:val="0"/>
        <w:autoSpaceDE w:val="0"/>
        <w:autoSpaceDN/>
        <w:bidi w:val="0"/>
        <w:adjustRightInd w:val="0"/>
        <w:snapToGrid w:val="0"/>
        <w:spacing w:line="480" w:lineRule="exact"/>
        <w:jc w:val="both"/>
        <w:textAlignment w:val="baseline"/>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乙方（盖章）：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p>
    <w:p w14:paraId="65DF2A8D">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53EE1606">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right"/>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于厦门市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湖里</w:t>
      </w:r>
      <w:r>
        <w:rPr>
          <w:rFonts w:hint="eastAsia" w:ascii="仿宋_GB2312" w:hAnsi="仿宋_GB2312" w:eastAsia="仿宋_GB2312" w:cs="仿宋_GB2312"/>
          <w:color w:val="000000" w:themeColor="text1"/>
          <w:sz w:val="32"/>
          <w:szCs w:val="32"/>
          <w:highlight w:val="none"/>
          <w14:textFill>
            <w14:solidFill>
              <w14:schemeClr w14:val="tx1"/>
            </w14:solidFill>
          </w14:textFill>
        </w:rPr>
        <w:t>区签订</w:t>
      </w:r>
    </w:p>
    <w:p w14:paraId="2517507C">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10F7F6E">
      <w:pPr>
        <w:keepNext w:val="0"/>
        <w:keepLines w:val="0"/>
        <w:pageBreakBefore w:val="0"/>
        <w:widowControl/>
        <w:kinsoku/>
        <w:wordWrap w:val="0"/>
        <w:overflowPunct/>
        <w:topLinePunct w:val="0"/>
        <w:autoSpaceDE w:val="0"/>
        <w:autoSpaceDN/>
        <w:bidi w:val="0"/>
        <w:adjustRightInd w:val="0"/>
        <w:snapToGrid w:val="0"/>
        <w:spacing w:line="48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p>
    <w:sectPr>
      <w:footerReference r:id="rId6" w:type="default"/>
      <w:pgSz w:w="11906" w:h="16839"/>
      <w:pgMar w:top="1440" w:right="1800" w:bottom="1440" w:left="1800" w:header="0" w:footer="987" w:gutter="0"/>
      <w:pgNumType w:fmt="decimalFullWidt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星标宋">
    <w:panose1 w:val="0201060900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008D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E0A19">
                          <w:pPr>
                            <w:pStyle w:val="6"/>
                          </w:pPr>
                          <w:r>
                            <w:fldChar w:fldCharType="begin"/>
                          </w:r>
                          <w:r>
                            <w:instrText xml:space="preserve"> PAGE  \* MERGEFORMAT </w:instrText>
                          </w:r>
                          <w:r>
                            <w:fldChar w:fldCharType="separate"/>
                          </w:r>
                          <w:r>
                            <w:t>１</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11E0A19">
                    <w:pPr>
                      <w:pStyle w:val="6"/>
                    </w:pPr>
                    <w:r>
                      <w:fldChar w:fldCharType="begin"/>
                    </w:r>
                    <w:r>
                      <w:instrText xml:space="preserve"> PAGE  \* MERGEFORMAT </w:instrText>
                    </w:r>
                    <w:r>
                      <w:fldChar w:fldCharType="separate"/>
                    </w:r>
                    <w:r>
                      <w:t>１</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B5F11">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3F4CB">
                          <w:pPr>
                            <w:keepNext w:val="0"/>
                            <w:keepLines w:val="0"/>
                            <w:pageBreakBefore w:val="0"/>
                            <w:widowControl/>
                            <w:kinsoku/>
                            <w:wordWrap w:val="0"/>
                            <w:overflowPunct/>
                            <w:topLinePunct/>
                            <w:bidi w:val="0"/>
                            <w:adjustRightInd w:val="0"/>
                            <w:snapToGrid w:val="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９</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83F4CB">
                    <w:pPr>
                      <w:keepNext w:val="0"/>
                      <w:keepLines w:val="0"/>
                      <w:pageBreakBefore w:val="0"/>
                      <w:widowControl/>
                      <w:kinsoku/>
                      <w:wordWrap w:val="0"/>
                      <w:overflowPunct/>
                      <w:topLinePunct/>
                      <w:bidi w:val="0"/>
                      <w:adjustRightInd w:val="0"/>
                      <w:snapToGrid w:val="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９</w:t>
                    </w:r>
                    <w:r>
                      <w:rPr>
                        <w:rFonts w:hint="eastAsia" w:ascii="仿宋_GB2312" w:hAnsi="仿宋_GB2312" w:eastAsia="仿宋_GB2312" w:cs="仿宋_GB2312"/>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8F4775A"/>
    <w:rsid w:val="0EC5551B"/>
    <w:rsid w:val="16FE2F77"/>
    <w:rsid w:val="18546479"/>
    <w:rsid w:val="1FFA14F4"/>
    <w:rsid w:val="247D7BBE"/>
    <w:rsid w:val="25FFDFC8"/>
    <w:rsid w:val="2B841A0E"/>
    <w:rsid w:val="2C191269"/>
    <w:rsid w:val="2D2F60A7"/>
    <w:rsid w:val="2DEAA40F"/>
    <w:rsid w:val="32FE7171"/>
    <w:rsid w:val="37FF4BC5"/>
    <w:rsid w:val="3EDD7B39"/>
    <w:rsid w:val="3FA9EA8A"/>
    <w:rsid w:val="47F9A435"/>
    <w:rsid w:val="48F02EF8"/>
    <w:rsid w:val="49AB4B5D"/>
    <w:rsid w:val="4A2C5882"/>
    <w:rsid w:val="4BB50541"/>
    <w:rsid w:val="4C94758F"/>
    <w:rsid w:val="4EA824BA"/>
    <w:rsid w:val="4F361E34"/>
    <w:rsid w:val="4F6349AA"/>
    <w:rsid w:val="52940917"/>
    <w:rsid w:val="53EBDC76"/>
    <w:rsid w:val="59BF6CF9"/>
    <w:rsid w:val="5A7DB360"/>
    <w:rsid w:val="5CE30313"/>
    <w:rsid w:val="5EBF167C"/>
    <w:rsid w:val="5F142E97"/>
    <w:rsid w:val="5F897928"/>
    <w:rsid w:val="5FB71866"/>
    <w:rsid w:val="5FBDFCAA"/>
    <w:rsid w:val="60581ECA"/>
    <w:rsid w:val="60B255C4"/>
    <w:rsid w:val="619F774C"/>
    <w:rsid w:val="62DF30DF"/>
    <w:rsid w:val="633F7874"/>
    <w:rsid w:val="655F960F"/>
    <w:rsid w:val="671C335C"/>
    <w:rsid w:val="673D9AAB"/>
    <w:rsid w:val="68C47C5A"/>
    <w:rsid w:val="696E78DB"/>
    <w:rsid w:val="6ADF7C90"/>
    <w:rsid w:val="6B2801B3"/>
    <w:rsid w:val="6E7564B2"/>
    <w:rsid w:val="6E9FCD6B"/>
    <w:rsid w:val="6ED5518F"/>
    <w:rsid w:val="6EF57F05"/>
    <w:rsid w:val="6F672E4D"/>
    <w:rsid w:val="6FFBCB12"/>
    <w:rsid w:val="6FFF859B"/>
    <w:rsid w:val="6FFFB5A8"/>
    <w:rsid w:val="70085A4E"/>
    <w:rsid w:val="721FB3E0"/>
    <w:rsid w:val="7253BA2A"/>
    <w:rsid w:val="727ABA92"/>
    <w:rsid w:val="73D97185"/>
    <w:rsid w:val="74859AE3"/>
    <w:rsid w:val="74FBDF91"/>
    <w:rsid w:val="75B34FAC"/>
    <w:rsid w:val="77566A44"/>
    <w:rsid w:val="77B56802"/>
    <w:rsid w:val="77FEF0A5"/>
    <w:rsid w:val="7A3FA7C2"/>
    <w:rsid w:val="7A75D9DC"/>
    <w:rsid w:val="7B7F0DF2"/>
    <w:rsid w:val="7BFC1A51"/>
    <w:rsid w:val="7BFDE89D"/>
    <w:rsid w:val="7C758680"/>
    <w:rsid w:val="7CEFDE1A"/>
    <w:rsid w:val="7DBF5C0D"/>
    <w:rsid w:val="7DF7EAF0"/>
    <w:rsid w:val="7DFFE85B"/>
    <w:rsid w:val="7E37D47B"/>
    <w:rsid w:val="7E8FD838"/>
    <w:rsid w:val="7F7799F6"/>
    <w:rsid w:val="7FAF7DA7"/>
    <w:rsid w:val="7FFE4D4E"/>
    <w:rsid w:val="7FFF01E5"/>
    <w:rsid w:val="977F04A7"/>
    <w:rsid w:val="A92F82C6"/>
    <w:rsid w:val="AF6C5849"/>
    <w:rsid w:val="B86F3903"/>
    <w:rsid w:val="B99DB9D7"/>
    <w:rsid w:val="B9FF4F62"/>
    <w:rsid w:val="BDBE51D1"/>
    <w:rsid w:val="BE778E52"/>
    <w:rsid w:val="BF6F654B"/>
    <w:rsid w:val="BFBFA502"/>
    <w:rsid w:val="CAEF1078"/>
    <w:rsid w:val="D77B7F0A"/>
    <w:rsid w:val="DA36DD0B"/>
    <w:rsid w:val="DB3F2B88"/>
    <w:rsid w:val="DBAF01C2"/>
    <w:rsid w:val="DD34AE03"/>
    <w:rsid w:val="DD7F1107"/>
    <w:rsid w:val="DDFFAFAC"/>
    <w:rsid w:val="DE8FED22"/>
    <w:rsid w:val="DEEF4FE4"/>
    <w:rsid w:val="DFFF9500"/>
    <w:rsid w:val="E8FDE8CF"/>
    <w:rsid w:val="EBBF07BF"/>
    <w:rsid w:val="EC737477"/>
    <w:rsid w:val="EDFD4943"/>
    <w:rsid w:val="EEBF7A6B"/>
    <w:rsid w:val="EF34D430"/>
    <w:rsid w:val="EF4F8171"/>
    <w:rsid w:val="F6BB2040"/>
    <w:rsid w:val="F74D5666"/>
    <w:rsid w:val="F79D3943"/>
    <w:rsid w:val="F95717D0"/>
    <w:rsid w:val="FA4F8526"/>
    <w:rsid w:val="FBC9682E"/>
    <w:rsid w:val="FBF7A3C9"/>
    <w:rsid w:val="FBFF9373"/>
    <w:rsid w:val="FC76F795"/>
    <w:rsid w:val="FDB9C298"/>
    <w:rsid w:val="FDDF0684"/>
    <w:rsid w:val="FDEF85D9"/>
    <w:rsid w:val="FE4D4F8B"/>
    <w:rsid w:val="FEB9F23C"/>
    <w:rsid w:val="FEBFA6E0"/>
    <w:rsid w:val="FEFF882F"/>
    <w:rsid w:val="FF5BE885"/>
    <w:rsid w:val="FF5F1E20"/>
    <w:rsid w:val="FF67B3A2"/>
    <w:rsid w:val="FF6B5D81"/>
    <w:rsid w:val="FF6FD131"/>
    <w:rsid w:val="FFBF5305"/>
    <w:rsid w:val="FFF89849"/>
    <w:rsid w:val="FFFF0228"/>
    <w:rsid w:val="FFFFB759"/>
    <w:rsid w:val="FFFFBCF6"/>
    <w:rsid w:val="FFFFD7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标书标准）"/>
    <w:basedOn w:val="1"/>
    <w:qFormat/>
    <w:uiPriority w:val="0"/>
    <w:pPr>
      <w:spacing w:line="400" w:lineRule="exact"/>
      <w:ind w:firstLine="420" w:firstLineChars="200"/>
    </w:pPr>
    <w:rPr>
      <w:rFonts w:cs="宋体"/>
      <w:bCs/>
      <w:color w:val="000000"/>
      <w:sz w:val="24"/>
    </w:rPr>
  </w:style>
  <w:style w:type="paragraph" w:styleId="3">
    <w:name w:val="annotation text"/>
    <w:basedOn w:val="1"/>
    <w:qFormat/>
    <w:uiPriority w:val="0"/>
    <w:pPr>
      <w:jc w:val="left"/>
    </w:pPr>
  </w:style>
  <w:style w:type="paragraph" w:styleId="4">
    <w:name w:val="Body Text"/>
    <w:basedOn w:val="1"/>
    <w:semiHidden/>
    <w:qFormat/>
    <w:uiPriority w:val="0"/>
    <w:rPr>
      <w:rFonts w:ascii="微软雅黑" w:hAnsi="微软雅黑" w:eastAsia="微软雅黑" w:cs="微软雅黑"/>
      <w:sz w:val="24"/>
      <w:szCs w:val="24"/>
      <w:lang w:val="en-US" w:eastAsia="en-US" w:bidi="ar-SA"/>
    </w:rPr>
  </w:style>
  <w:style w:type="paragraph" w:styleId="5">
    <w:name w:val="Body Text Indent"/>
    <w:basedOn w:val="1"/>
    <w:qFormat/>
    <w:uiPriority w:val="0"/>
    <w:pPr>
      <w:spacing w:line="360" w:lineRule="auto"/>
      <w:ind w:right="-154" w:firstLine="480" w:firstLineChars="200"/>
    </w:pPr>
    <w:rPr>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3862beba-cae6-4c4a-aeb9-d14aa6ec1482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29F89B3C</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5b54159a-eb76-4c26-ace3-d7b112013732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29F89B3C</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8cba6d0b-74e4-4a8e-a107-15362298aad9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58A5786A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a8ee3d1b-3e2e-44a6-9cd1-2fef5bc66373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151014ED</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392987fa-d78e-46c8-9034-65943a26540a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674FC64F</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75d2c314-af12-4a2f-a08d-956764e05e9c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674FC64F</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1c120069-9d70-413a-957e-078d63f8e060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7C0863F9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14e2861e-0f99-4398-8d1c-e29bfe202e68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2F3F68D2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93edc175-ecc6-4685-974a-11335120d4d7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6EE206B9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ea09e4fa-078d-4afb-90ba-6a9e955ea2e0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15539076</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8d7d4862-362f-48c8-ac39-881d03736ad1</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45E0F31F</paraID>
      <start xmlns="http://schemas.wps.cn/vas-ai-hub/contract-review">45</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7b032b63-0a3f-445f-b80f-1189bc416ab1</errorID>
      <errorWord xmlns="http://schemas.wps.cn/vas-ai-hub/contract-review">标示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标识</item>
      </candidateList>
      <explain xmlns="http://schemas.wps.cn/vas-ai-hub/contract-review"/>
      <paraID xmlns="http://schemas.wps.cn/vas-ai-hub/contract-review">197E191F</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6eda9579-8af3-407b-a766-63f351221c8c</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（鬚）xū❶原来指长在下巴上的胡子，后来泛指胡须：～发｜～眉。❷须子：触～｜花～。</explain>
      <paraID xmlns="http://schemas.wps.cn/vas-ai-hub/contract-review">197E191F</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d8fce45f-f03c-4ed8-b725-0a3007ce3576</errorID>
      <errorWord xmlns="http://schemas.wps.cn/vas-ai-hub/contract-review">广告法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中华人民共和国广告法</item>
      </candidateList>
      <explain xmlns="http://schemas.wps.cn/vas-ai-hub/contract-review">当前法律法规名称使用简称，请注意是否应当使用全称。</explain>
      <paraID xmlns="http://schemas.wps.cn/vas-ai-hub/contract-review">46B16C88</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487b22fd-67b9-45f3-a191-00be1e89ef1e</errorID>
      <errorWord xmlns="http://schemas.wps.cn/vas-ai-hub/contract-review">绿化地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绿化</item>
      </candidateList>
      <explain xmlns="http://schemas.wps.cn/vas-ai-hub/contract-review"/>
      <paraID xmlns="http://schemas.wps.cn/vas-ai-hub/contract-review">70372BB7</paraID>
      <start xmlns="http://schemas.wps.cn/vas-ai-hub/contract-review">18</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86d01663-32a9-4270-a8b8-8e28aa1dcd37</errorID>
      <errorWord xmlns="http://schemas.wps.cn/vas-ai-hub/contract-review">完必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完毕</item>
      </candidateList>
      <explain xmlns="http://schemas.wps.cn/vas-ai-hub/contract-review"/>
      <paraID xmlns="http://schemas.wps.cn/vas-ai-hub/contract-review">70372BB7</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a3f0d845-a5b3-44ef-9e5d-a63f9fb3c9f8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665093</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0b1ec6ca-8539-4e98-a9a6-80c16a08a770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665093</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26af8564-a16e-491e-914d-30dbbbf4bdc2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665093</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02801196-dab5-424b-ab3e-87a2cc729b0d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755C66AA</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5e6c602b-0898-47b5-87a9-6003013068eb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755C66AA</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4f12705d-10fe-466a-a714-98d58fe6cf40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755C66AA</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8a4528d7-4f75-4019-a388-4442032c8571</errorID>
      <errorWord xmlns="http://schemas.wps.cn/vas-ai-hub/contract-review">人民法院诉讼解决</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人民法院提起诉讼</item>
      </candidateList>
      <explain xmlns="http://schemas.wps.cn/vas-ai-hub/contract-review"/>
      <paraID xmlns="http://schemas.wps.cn/vas-ai-hub/contract-review">3071F29D</paraID>
      <start xmlns="http://schemas.wps.cn/vas-ai-hub/contract-review">43</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7b0c7a0f-db11-4c6e-a17f-b2eb234ea67a</errorID>
      <errorWord xmlns="http://schemas.wps.cn/vas-ai-hub/contract-review">按《中华人民共和国</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按照《中华人民共和国</item>
      </candidateList>
      <explain xmlns="http://schemas.wps.cn/vas-ai-hub/contract-review"/>
      <paraID xmlns="http://schemas.wps.cn/vas-ai-hub/contract-review">55DDCF63</paraID>
      <start xmlns="http://schemas.wps.cn/vas-ai-hub/contract-review">12</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43f46d40-d56e-482d-ade4-ba4bd9b162d1</errorID>
      <errorWord xmlns="http://schemas.wps.cn/vas-ai-hub/contract-review">民法典》及其它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民法典》及其他</item>
      </candidateList>
      <explain xmlns="http://schemas.wps.cn/vas-ai-hub/contract-review">词汇[民法典》及其它]为不规范表述或旧称，其规范书面表述为[民法典》及其他]。</explain>
      <paraID xmlns="http://schemas.wps.cn/vas-ai-hub/contract-review">55DDCF63</paraID>
      <start xmlns="http://schemas.wps.cn/vas-ai-hub/contract-review">21</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b60acef1-ec3e-471d-9963-9da7ccdd0503</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7C2E30AD</paraID>
      <start xmlns="http://schemas.wps.cn/vas-ai-hub/contract-review">36</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626e5f48-1d17-4acd-afa1-1cd740476320</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3C181464</paraID>
      <start xmlns="http://schemas.wps.cn/vas-ai-hub/contract-review">29</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04ee9273-9add-4f23-944c-1df9b761ae57</errorID>
      <errorWord xmlns="http://schemas.wps.cn/vas-ai-hub/contract-review">共同协商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协商</item>
      </candidateList>
      <explain xmlns="http://schemas.wps.cn/vas-ai-hub/contract-review">该表达中的“共同协商”存在语义重复。【词汇解析】协商：“协商”原本就有“共同”之意，协商指共同商量。</explain>
      <paraID xmlns="http://schemas.wps.cn/vas-ai-hub/contract-review">3C181464</paraID>
      <start xmlns="http://schemas.wps.cn/vas-ai-hub/contract-review">106</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9f4b4911-118d-4092-b2b6-5f8d55666fcc</errorID>
      <errorWord xmlns="http://schemas.wps.cn/vas-ai-hub/contract-review">中的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item>
      </candidateList>
      <explain xmlns="http://schemas.wps.cn/vas-ai-hub/contract-review">〈动〉❶正对上；恰好合上：～选｜猜～了｜三枪都打～了目标。❷受到；遭受：～毒｜～暑｜胳膊上～了一枪。</explain>
      <paraID xmlns="http://schemas.wps.cn/vas-ai-hub/contract-review">18C12C5C</paraID>
      <start xmlns="http://schemas.wps.cn/vas-ai-hub/contract-review">140</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10cdcab7-b36f-40b3-98fe-54452f70e4b9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4A2CDB67</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569d6972-c8a4-4bb2-89a8-e23b6dd33cd0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2C8B68B4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be624946-22ac-47a8-9f48-770ef695a74f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2AC2BD11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facad957-1884-4c7b-9a42-c4e1ca86a0e4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4EF98FB6</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8ae2ddaf-4f10-4985-a17f-79dc34bd9a4a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61425894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8850d3f4-d6df-4e59-89ec-f802fc82942f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6B99A97E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872cf4cf-602e-4140-be4f-1904b17db4fe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6B99A97E</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80ad055d-fc0a-42b5-b74e-77673458a234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6B99A97E</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ba89a27c-a048-41f7-8cc9-6b3f62417e40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6B99A97E</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e427b198-bb7d-4671-a449-9ee57460af3e</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3254E7D1</paraID>
      <start xmlns="http://schemas.wps.cn/vas-ai-hub/contract-review">98</start>
      <end xmlns="http://schemas.wps.cn/vas-ai-hub/contract-review">103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bc8191bd-50a3-46ba-a4bd-9bf04819426e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item>
      </candidateList>
      <explain xmlns="http://schemas.wps.cn/vas-ai-hub/contract-review"/>
      <paraID xmlns="http://schemas.wps.cn/vas-ai-hub/contract-review">4A718BED</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a93d4e63-9da7-4ea8-97b8-0ea7a133cd67</errorID>
      <errorWord xmlns="http://schemas.wps.cn/vas-ai-hub/contract-review">提高</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增强</item>
      </candidateList>
      <explain xmlns="http://schemas.wps.cn/vas-ai-hub/contract-review">“提高～意识”搭配不当，建议修改为“增强～意识”。</explain>
      <paraID xmlns="http://schemas.wps.cn/vas-ai-hub/contract-review">4A718BED</paraID>
      <start xmlns="http://schemas.wps.cn/vas-ai-hub/contract-review">112</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d1cf1790-c931-4eb4-b5e0-8ce6a3d27f22</errorID>
      <errorWord xmlns="http://schemas.wps.cn/vas-ai-hub/contract-review">生产法律、法规及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生产法律法规及</item>
      </candidateList>
      <explain xmlns="http://schemas.wps.cn/vas-ai-hub/contract-review"/>
      <paraID xmlns="http://schemas.wps.cn/vas-ai-hub/contract-review"> 87F9784</paraID>
      <start xmlns="http://schemas.wps.cn/vas-ai-hub/contract-review">53</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56bb4092-143f-4d14-9e7c-7f3e94d7d7c2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1A29C78D</paraID>
      <start xmlns="http://schemas.wps.cn/vas-ai-hub/contract-review">13</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423dfcef-3eb7-4c74-9ce3-b083a71c5707</errorID>
      <errorWord xmlns="http://schemas.wps.cn/vas-ai-hub/contract-review">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人员</item>
      </candidateList>
      <explain xmlns="http://schemas.wps.cn/vas-ai-hub/contract-review">〈名〉担任某种职务的人：机关工作～｜值班～｜～配备。</explain>
      <paraID xmlns="http://schemas.wps.cn/vas-ai-hub/contract-review">727D42DB</paraID>
      <start xmlns="http://schemas.wps.cn/vas-ai-hub/contract-review">139</start>
      <end xmlns="http://schemas.wps.cn/vas-ai-hub/contract-review">140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ce7896a1-83a1-46cd-885b-b0bf48270d2d</errorID>
      <errorWord xmlns="http://schemas.wps.cn/vas-ai-hub/contract-review">安全的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安全</item>
      </candidateList>
      <explain xmlns="http://schemas.wps.cn/vas-ai-hub/contract-review">〈形〉没有危险；不受威胁；不出事故：～操作｜～地带｜注意交通～。</explain>
      <paraID xmlns="http://schemas.wps.cn/vas-ai-hub/contract-review">7EF4749B</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f3588301-2917-4128-86fa-b968942f06b6</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515FB048</paraID>
      <start xmlns="http://schemas.wps.cn/vas-ai-hub/contract-review">25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6f1814db-48c7-4b3e-a1b0-5a7fc9e89ba4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515FB048</paraID>
      <start xmlns="http://schemas.wps.cn/vas-ai-hub/contract-review">64</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3aad22df-de83-4737-94df-47fe019827ec</errorID>
      <errorWord xmlns="http://schemas.wps.cn/vas-ai-hub/contract-review">时的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時）shí❶〈名〉指比较长的一段时间：古～｜宋～｜盛极一～。❷〈名〉规定的时候：按～｜准～｜八点出发，过～不候。❸季节：四～｜农～｜应～。❹当前；现在：～下｜～新｜～事。❺时俗；时尚：入～｜合～。❻时辰：卯～｜辰～。❼〈量〉计时的单位，小时（点）：上午八～。❽时机：失～｜待～而动。❾〈副〉时常：～～｜～有出现。</explain>
      <paraID xmlns="http://schemas.wps.cn/vas-ai-hub/contract-review"> 4A40CBA</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9c2179-faa7-46c3-914a-da749387f2df}">
  <ds:schemaRefs/>
</ds:datastoreItem>
</file>

<file path=docProps/app.xml><?xml version="1.0" encoding="utf-8"?>
<Properties xmlns="http://schemas.openxmlformats.org/officeDocument/2006/extended-properties" xmlns:vt="http://schemas.openxmlformats.org/officeDocument/2006/docPropsVTypes">
  <Pages>17</Pages>
  <Words>6892</Words>
  <Characters>7081</Characters>
  <TotalTime>22</TotalTime>
  <ScaleCrop>false</ScaleCrop>
  <LinksUpToDate>false</LinksUpToDate>
  <CharactersWithSpaces>7291</CharactersWithSpaces>
  <Application>WPS Office_12.8.2.1114_F1E327BC-269C-435d-A152-05C5408002CA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2024-09-30T09:06:00Z</dcterms:created>
  <dc:creator>Administrator</dc:creator>
  <cp:lastModifiedBy>(๑´ㅂ`๑)</cp:lastModifiedBy>
  <cp:lastPrinted>2026-08-13T15:04:00Z</cp:lastPrinted>
  <dcterms:modified xsi:type="dcterms:W3CDTF">2026-09-02T12:26:25Z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2026-05-26T09:11:19Z</vt:filetime>
  </property>
  <property fmtid="{D5CDD505-2E9C-101B-9397-08002B2CF9AE}" pid="4" name="KSOTemplateDocerSaveRecord">
    <vt:lpwstr>eyJoZGlkIjoiNThiYTA2N2M0Y2JlODJmZjVmY2VkOWZjYzNlNDFmY2EiLCJ1c2VySWQiOiIxMDUyNzk2MzY4In0=</vt:lpwstr>
  </property>
  <property fmtid="{D5CDD505-2E9C-101B-9397-08002B2CF9AE}" pid="5" name="KSOProductBuildVer">
    <vt:lpwstr>2052-12.8.2.1114</vt:lpwstr>
  </property>
  <property fmtid="{D5CDD505-2E9C-101B-9397-08002B2CF9AE}" pid="6" name="ICV">
    <vt:lpwstr>E142BFC454ABCD6675D67A6A22882AD1_43</vt:lpwstr>
  </property>
</Properties>
</file>