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DAAC2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b/>
          <w:kern w:val="0"/>
          <w:sz w:val="24"/>
          <w:szCs w:val="21"/>
        </w:rPr>
      </w:pPr>
      <w:r>
        <w:rPr>
          <w:rFonts w:hint="eastAsia" w:ascii="宋体" w:hAnsi="宋体" w:cs="宋体"/>
          <w:b/>
          <w:kern w:val="0"/>
          <w:sz w:val="24"/>
          <w:szCs w:val="21"/>
        </w:rPr>
        <w:t>厦门火炬高新区招商服务中心有限公司</w:t>
      </w:r>
    </w:p>
    <w:p w14:paraId="4DFA925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cs="宋体"/>
          <w:b/>
          <w:kern w:val="0"/>
          <w:sz w:val="24"/>
          <w:szCs w:val="21"/>
        </w:rPr>
      </w:pPr>
      <w:r>
        <w:rPr>
          <w:rFonts w:hint="eastAsia" w:ascii="宋体" w:hAnsi="宋体" w:cs="宋体"/>
          <w:b/>
          <w:kern w:val="0"/>
          <w:sz w:val="24"/>
          <w:szCs w:val="21"/>
        </w:rPr>
        <w:t>竞租</w:t>
      </w:r>
      <w:r>
        <w:rPr>
          <w:rFonts w:hint="eastAsia" w:ascii="宋体" w:hAnsi="宋体" w:cs="宋体"/>
          <w:b/>
          <w:kern w:val="0"/>
          <w:sz w:val="24"/>
          <w:szCs w:val="21"/>
          <w:lang w:eastAsia="zh-CN"/>
        </w:rPr>
        <w:t>标的</w:t>
      </w:r>
      <w:r>
        <w:rPr>
          <w:rFonts w:ascii="宋体" w:hAnsi="宋体" w:cs="宋体"/>
          <w:b/>
          <w:kern w:val="0"/>
          <w:sz w:val="24"/>
          <w:szCs w:val="21"/>
        </w:rPr>
        <w:t>明细表</w:t>
      </w:r>
    </w:p>
    <w:p w14:paraId="20CD35E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cs="宋体"/>
          <w:b/>
          <w:kern w:val="0"/>
          <w:sz w:val="24"/>
          <w:szCs w:val="21"/>
        </w:rPr>
      </w:pPr>
      <w:r>
        <w:rPr>
          <w:rFonts w:ascii="宋体" w:hAnsi="宋体" w:cs="宋体"/>
          <w:b/>
          <w:kern w:val="0"/>
          <w:sz w:val="24"/>
          <w:szCs w:val="21"/>
        </w:rPr>
        <w:t>202</w:t>
      </w:r>
      <w:r>
        <w:rPr>
          <w:rFonts w:hint="eastAsia" w:ascii="宋体" w:hAnsi="宋体" w:cs="宋体"/>
          <w:b/>
          <w:kern w:val="0"/>
          <w:sz w:val="24"/>
          <w:szCs w:val="21"/>
        </w:rPr>
        <w:t>6</w:t>
      </w:r>
      <w:r>
        <w:rPr>
          <w:rFonts w:ascii="宋体" w:hAnsi="宋体" w:cs="宋体"/>
          <w:b/>
          <w:kern w:val="0"/>
          <w:sz w:val="24"/>
          <w:szCs w:val="21"/>
        </w:rPr>
        <w:t>年第</w:t>
      </w:r>
      <w:r>
        <w:rPr>
          <w:rFonts w:hint="eastAsia" w:ascii="宋体" w:hAnsi="宋体" w:cs="宋体"/>
          <w:b/>
          <w:kern w:val="0"/>
          <w:sz w:val="24"/>
          <w:szCs w:val="21"/>
          <w:lang w:val="en-US" w:eastAsia="zh-CN"/>
        </w:rPr>
        <w:t>10</w:t>
      </w:r>
      <w:r>
        <w:rPr>
          <w:rFonts w:ascii="宋体" w:hAnsi="宋体" w:cs="宋体"/>
          <w:b/>
          <w:kern w:val="0"/>
          <w:sz w:val="24"/>
          <w:szCs w:val="21"/>
        </w:rPr>
        <w:t>期</w:t>
      </w:r>
    </w:p>
    <w:tbl>
      <w:tblPr>
        <w:tblStyle w:val="6"/>
        <w:tblpPr w:leftFromText="180" w:rightFromText="180" w:vertAnchor="text" w:horzAnchor="page" w:tblpX="346" w:tblpY="1044"/>
        <w:tblOverlap w:val="never"/>
        <w:tblW w:w="10966" w:type="dxa"/>
        <w:tblInd w:w="0" w:type="dxa"/>
        <w:tblLayout w:type="fixed"/>
        <w:tblCellMar>
          <w:top w:w="0" w:type="dxa"/>
          <w:left w:w="108" w:type="dxa"/>
          <w:bottom w:w="0" w:type="dxa"/>
          <w:right w:w="108" w:type="dxa"/>
        </w:tblCellMar>
      </w:tblPr>
      <w:tblGrid>
        <w:gridCol w:w="436"/>
        <w:gridCol w:w="692"/>
        <w:gridCol w:w="984"/>
        <w:gridCol w:w="847"/>
        <w:gridCol w:w="2250"/>
        <w:gridCol w:w="1394"/>
        <w:gridCol w:w="877"/>
        <w:gridCol w:w="906"/>
        <w:gridCol w:w="510"/>
        <w:gridCol w:w="960"/>
        <w:gridCol w:w="1110"/>
      </w:tblGrid>
      <w:tr w14:paraId="68C73291">
        <w:tblPrEx>
          <w:tblCellMar>
            <w:top w:w="0" w:type="dxa"/>
            <w:left w:w="108" w:type="dxa"/>
            <w:bottom w:w="0" w:type="dxa"/>
            <w:right w:w="108" w:type="dxa"/>
          </w:tblCellMar>
        </w:tblPrEx>
        <w:trPr>
          <w:trHeight w:val="657" w:hRule="atLeast"/>
        </w:trPr>
        <w:tc>
          <w:tcPr>
            <w:tcW w:w="436" w:type="dxa"/>
            <w:vMerge w:val="restart"/>
            <w:tcBorders>
              <w:top w:val="single" w:color="auto" w:sz="8" w:space="0"/>
              <w:left w:val="single" w:color="auto" w:sz="8" w:space="0"/>
              <w:bottom w:val="single" w:color="000000" w:sz="8" w:space="0"/>
              <w:right w:val="single" w:color="auto" w:sz="8" w:space="0"/>
            </w:tcBorders>
            <w:vAlign w:val="center"/>
          </w:tcPr>
          <w:p w14:paraId="176AE97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序号</w:t>
            </w:r>
          </w:p>
        </w:tc>
        <w:tc>
          <w:tcPr>
            <w:tcW w:w="692" w:type="dxa"/>
            <w:vMerge w:val="restart"/>
            <w:tcBorders>
              <w:top w:val="single" w:color="auto" w:sz="8" w:space="0"/>
              <w:left w:val="single" w:color="auto" w:sz="8" w:space="0"/>
              <w:bottom w:val="single" w:color="000000" w:sz="8" w:space="0"/>
              <w:right w:val="single" w:color="auto" w:sz="8" w:space="0"/>
            </w:tcBorders>
            <w:vAlign w:val="center"/>
          </w:tcPr>
          <w:p w14:paraId="241E477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Cs w:val="21"/>
                <w:lang w:eastAsia="zh-CN"/>
              </w:rPr>
            </w:pPr>
            <w:r>
              <w:rPr>
                <w:rFonts w:hint="eastAsia" w:ascii="仿宋_GB2312" w:hAnsi="仿宋_GB2312" w:eastAsia="仿宋_GB2312" w:cs="仿宋_GB2312"/>
                <w:color w:val="000000"/>
                <w:kern w:val="0"/>
                <w:szCs w:val="21"/>
                <w:lang w:eastAsia="zh-CN"/>
              </w:rPr>
              <w:t>项目</w:t>
            </w:r>
          </w:p>
        </w:tc>
        <w:tc>
          <w:tcPr>
            <w:tcW w:w="984" w:type="dxa"/>
            <w:vMerge w:val="restart"/>
            <w:tcBorders>
              <w:top w:val="single" w:color="auto" w:sz="8" w:space="0"/>
              <w:left w:val="single" w:color="auto" w:sz="8" w:space="0"/>
              <w:bottom w:val="single" w:color="000000" w:sz="8" w:space="0"/>
              <w:right w:val="single" w:color="auto" w:sz="8" w:space="0"/>
            </w:tcBorders>
            <w:vAlign w:val="center"/>
          </w:tcPr>
          <w:p w14:paraId="3699233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lang w:eastAsia="zh-CN"/>
              </w:rPr>
              <w:t>标的</w:t>
            </w:r>
            <w:r>
              <w:rPr>
                <w:rFonts w:hint="eastAsia" w:ascii="仿宋_GB2312" w:hAnsi="仿宋_GB2312" w:eastAsia="仿宋_GB2312" w:cs="仿宋_GB2312"/>
                <w:color w:val="000000"/>
                <w:kern w:val="0"/>
                <w:szCs w:val="21"/>
              </w:rPr>
              <w:t>坐落及名称</w:t>
            </w:r>
          </w:p>
        </w:tc>
        <w:tc>
          <w:tcPr>
            <w:tcW w:w="847" w:type="dxa"/>
            <w:vMerge w:val="restart"/>
            <w:tcBorders>
              <w:top w:val="single" w:color="auto" w:sz="8" w:space="0"/>
              <w:left w:val="single" w:color="auto" w:sz="8" w:space="0"/>
              <w:bottom w:val="single" w:color="000000" w:sz="8" w:space="0"/>
              <w:right w:val="single" w:color="auto" w:sz="8" w:space="0"/>
            </w:tcBorders>
            <w:vAlign w:val="center"/>
          </w:tcPr>
          <w:p w14:paraId="53D0E26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业态要求</w:t>
            </w:r>
          </w:p>
        </w:tc>
        <w:tc>
          <w:tcPr>
            <w:tcW w:w="2250" w:type="dxa"/>
            <w:vMerge w:val="restart"/>
            <w:tcBorders>
              <w:top w:val="single" w:color="auto" w:sz="8" w:space="0"/>
              <w:left w:val="single" w:color="auto" w:sz="8" w:space="0"/>
              <w:bottom w:val="single" w:color="000000" w:sz="8" w:space="0"/>
              <w:right w:val="single" w:color="auto" w:sz="8" w:space="0"/>
            </w:tcBorders>
            <w:vAlign w:val="center"/>
          </w:tcPr>
          <w:p w14:paraId="1B3700C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shd w:val="clear"/>
              </w:rPr>
              <w:t>报名条件</w:t>
            </w:r>
          </w:p>
        </w:tc>
        <w:tc>
          <w:tcPr>
            <w:tcW w:w="1394" w:type="dxa"/>
            <w:vMerge w:val="restart"/>
            <w:tcBorders>
              <w:top w:val="single" w:color="auto" w:sz="8" w:space="0"/>
              <w:left w:val="nil"/>
              <w:right w:val="single" w:color="auto" w:sz="8" w:space="0"/>
            </w:tcBorders>
            <w:vAlign w:val="center"/>
          </w:tcPr>
          <w:p w14:paraId="5B5A1C1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Cs w:val="21"/>
              </w:rPr>
            </w:pPr>
            <w:r>
              <w:rPr>
                <w:rFonts w:hint="eastAsia" w:ascii="仿宋_GB2312" w:hAnsi="仿宋_GB2312" w:eastAsia="仿宋_GB2312" w:cs="仿宋_GB2312"/>
                <w:i w:val="0"/>
                <w:iCs w:val="0"/>
                <w:color w:val="000000"/>
                <w:kern w:val="0"/>
                <w:sz w:val="24"/>
                <w:szCs w:val="24"/>
                <w:u w:val="none"/>
                <w:lang w:val="en-US" w:eastAsia="zh-CN" w:bidi="ar"/>
              </w:rPr>
              <w:t>充电桩规划数量</w:t>
            </w:r>
          </w:p>
        </w:tc>
        <w:tc>
          <w:tcPr>
            <w:tcW w:w="877" w:type="dxa"/>
            <w:tcBorders>
              <w:top w:val="single" w:color="auto" w:sz="8" w:space="0"/>
              <w:left w:val="nil"/>
              <w:bottom w:val="single" w:color="auto" w:sz="8" w:space="0"/>
              <w:right w:val="single" w:color="auto" w:sz="8" w:space="0"/>
            </w:tcBorders>
            <w:vAlign w:val="center"/>
          </w:tcPr>
          <w:p w14:paraId="23E8E0B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竞租底价（元/</w:t>
            </w:r>
            <w:r>
              <w:rPr>
                <w:rFonts w:hint="eastAsia" w:ascii="仿宋_GB2312" w:hAnsi="仿宋_GB2312" w:eastAsia="仿宋_GB2312" w:cs="仿宋_GB2312"/>
                <w:color w:val="000000"/>
                <w:kern w:val="0"/>
                <w:szCs w:val="21"/>
                <w:lang w:eastAsia="zh-CN"/>
              </w:rPr>
              <w:t>千瓦时</w:t>
            </w:r>
            <w:r>
              <w:rPr>
                <w:rFonts w:hint="eastAsia" w:ascii="仿宋_GB2312" w:hAnsi="仿宋_GB2312" w:eastAsia="仿宋_GB2312" w:cs="仿宋_GB2312"/>
                <w:color w:val="000000"/>
                <w:kern w:val="0"/>
                <w:szCs w:val="21"/>
              </w:rPr>
              <w:t>）</w:t>
            </w:r>
          </w:p>
        </w:tc>
        <w:tc>
          <w:tcPr>
            <w:tcW w:w="906" w:type="dxa"/>
            <w:tcBorders>
              <w:top w:val="single" w:color="auto" w:sz="8" w:space="0"/>
              <w:left w:val="nil"/>
              <w:bottom w:val="single" w:color="auto" w:sz="8" w:space="0"/>
              <w:right w:val="single" w:color="auto" w:sz="8" w:space="0"/>
            </w:tcBorders>
            <w:vAlign w:val="center"/>
          </w:tcPr>
          <w:p w14:paraId="0E19A37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竞租保证金</w:t>
            </w:r>
          </w:p>
        </w:tc>
        <w:tc>
          <w:tcPr>
            <w:tcW w:w="510" w:type="dxa"/>
            <w:vMerge w:val="restart"/>
            <w:tcBorders>
              <w:top w:val="single" w:color="auto" w:sz="8" w:space="0"/>
              <w:left w:val="single" w:color="auto" w:sz="8" w:space="0"/>
              <w:bottom w:val="single" w:color="000000" w:sz="8" w:space="0"/>
              <w:right w:val="single" w:color="auto" w:sz="8" w:space="0"/>
            </w:tcBorders>
            <w:vAlign w:val="center"/>
          </w:tcPr>
          <w:p w14:paraId="35355F8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租赁年限</w:t>
            </w:r>
          </w:p>
        </w:tc>
        <w:tc>
          <w:tcPr>
            <w:tcW w:w="960" w:type="dxa"/>
            <w:vMerge w:val="restart"/>
            <w:tcBorders>
              <w:top w:val="single" w:color="auto" w:sz="8" w:space="0"/>
              <w:left w:val="nil"/>
              <w:right w:val="single" w:color="auto" w:sz="8" w:space="0"/>
            </w:tcBorders>
            <w:vAlign w:val="center"/>
          </w:tcPr>
          <w:p w14:paraId="72FB48B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租赁</w:t>
            </w:r>
          </w:p>
          <w:p w14:paraId="5D4BF7E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保证金（元）</w:t>
            </w:r>
          </w:p>
        </w:tc>
        <w:tc>
          <w:tcPr>
            <w:tcW w:w="1110" w:type="dxa"/>
            <w:vMerge w:val="restart"/>
            <w:tcBorders>
              <w:top w:val="single" w:color="auto" w:sz="8" w:space="0"/>
              <w:left w:val="single" w:color="auto" w:sz="8" w:space="0"/>
              <w:bottom w:val="single" w:color="000000" w:sz="8" w:space="0"/>
              <w:right w:val="single" w:color="auto" w:sz="8" w:space="0"/>
            </w:tcBorders>
            <w:noWrap/>
            <w:vAlign w:val="center"/>
          </w:tcPr>
          <w:p w14:paraId="033702B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备注</w:t>
            </w:r>
          </w:p>
        </w:tc>
      </w:tr>
      <w:tr w14:paraId="2B4A5126">
        <w:tblPrEx>
          <w:tblCellMar>
            <w:top w:w="0" w:type="dxa"/>
            <w:left w:w="108" w:type="dxa"/>
            <w:bottom w:w="0" w:type="dxa"/>
            <w:right w:w="108" w:type="dxa"/>
          </w:tblCellMar>
        </w:tblPrEx>
        <w:trPr>
          <w:trHeight w:val="820" w:hRule="atLeast"/>
        </w:trPr>
        <w:tc>
          <w:tcPr>
            <w:tcW w:w="436" w:type="dxa"/>
            <w:vMerge w:val="continue"/>
            <w:tcBorders>
              <w:top w:val="single" w:color="auto" w:sz="8" w:space="0"/>
              <w:left w:val="single" w:color="auto" w:sz="8" w:space="0"/>
              <w:bottom w:val="single" w:color="000000" w:sz="8" w:space="0"/>
              <w:right w:val="single" w:color="auto" w:sz="8" w:space="0"/>
            </w:tcBorders>
            <w:vAlign w:val="center"/>
          </w:tcPr>
          <w:p w14:paraId="71CF6F5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Cs w:val="21"/>
              </w:rPr>
            </w:pPr>
          </w:p>
        </w:tc>
        <w:tc>
          <w:tcPr>
            <w:tcW w:w="692" w:type="dxa"/>
            <w:vMerge w:val="continue"/>
            <w:tcBorders>
              <w:top w:val="single" w:color="auto" w:sz="8" w:space="0"/>
              <w:left w:val="single" w:color="auto" w:sz="8" w:space="0"/>
              <w:bottom w:val="single" w:color="000000" w:sz="8" w:space="0"/>
              <w:right w:val="single" w:color="auto" w:sz="8" w:space="0"/>
            </w:tcBorders>
            <w:vAlign w:val="center"/>
          </w:tcPr>
          <w:p w14:paraId="42DD5FF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Cs w:val="21"/>
              </w:rPr>
            </w:pPr>
          </w:p>
        </w:tc>
        <w:tc>
          <w:tcPr>
            <w:tcW w:w="984" w:type="dxa"/>
            <w:vMerge w:val="continue"/>
            <w:tcBorders>
              <w:top w:val="single" w:color="auto" w:sz="8" w:space="0"/>
              <w:left w:val="single" w:color="auto" w:sz="8" w:space="0"/>
              <w:bottom w:val="single" w:color="000000" w:sz="8" w:space="0"/>
              <w:right w:val="single" w:color="auto" w:sz="8" w:space="0"/>
            </w:tcBorders>
            <w:vAlign w:val="center"/>
          </w:tcPr>
          <w:p w14:paraId="2B3DD12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Cs w:val="21"/>
              </w:rPr>
            </w:pPr>
          </w:p>
        </w:tc>
        <w:tc>
          <w:tcPr>
            <w:tcW w:w="847" w:type="dxa"/>
            <w:vMerge w:val="continue"/>
            <w:tcBorders>
              <w:top w:val="single" w:color="auto" w:sz="8" w:space="0"/>
              <w:left w:val="single" w:color="auto" w:sz="8" w:space="0"/>
              <w:bottom w:val="single" w:color="000000" w:sz="8" w:space="0"/>
              <w:right w:val="single" w:color="auto" w:sz="8" w:space="0"/>
            </w:tcBorders>
            <w:vAlign w:val="center"/>
          </w:tcPr>
          <w:p w14:paraId="132DE80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Cs w:val="21"/>
              </w:rPr>
            </w:pPr>
          </w:p>
        </w:tc>
        <w:tc>
          <w:tcPr>
            <w:tcW w:w="2250" w:type="dxa"/>
            <w:vMerge w:val="continue"/>
            <w:tcBorders>
              <w:top w:val="single" w:color="auto" w:sz="8" w:space="0"/>
              <w:left w:val="single" w:color="auto" w:sz="8" w:space="0"/>
              <w:bottom w:val="single" w:color="000000" w:sz="8" w:space="0"/>
              <w:right w:val="single" w:color="auto" w:sz="8" w:space="0"/>
            </w:tcBorders>
            <w:vAlign w:val="center"/>
          </w:tcPr>
          <w:p w14:paraId="2F8D99C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Cs w:val="21"/>
              </w:rPr>
            </w:pPr>
          </w:p>
        </w:tc>
        <w:tc>
          <w:tcPr>
            <w:tcW w:w="1394" w:type="dxa"/>
            <w:vMerge w:val="continue"/>
            <w:tcBorders>
              <w:left w:val="nil"/>
              <w:bottom w:val="single" w:color="auto" w:sz="8" w:space="0"/>
              <w:right w:val="single" w:color="auto" w:sz="8" w:space="0"/>
            </w:tcBorders>
            <w:vAlign w:val="center"/>
          </w:tcPr>
          <w:p w14:paraId="1038D99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Cs w:val="21"/>
              </w:rPr>
            </w:pPr>
          </w:p>
        </w:tc>
        <w:tc>
          <w:tcPr>
            <w:tcW w:w="877" w:type="dxa"/>
            <w:tcBorders>
              <w:top w:val="nil"/>
              <w:left w:val="nil"/>
              <w:bottom w:val="single" w:color="auto" w:sz="8" w:space="0"/>
              <w:right w:val="single" w:color="auto" w:sz="8" w:space="0"/>
            </w:tcBorders>
            <w:vAlign w:val="center"/>
          </w:tcPr>
          <w:p w14:paraId="4B5D13F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（元/</w:t>
            </w:r>
            <w:r>
              <w:rPr>
                <w:rFonts w:hint="eastAsia" w:ascii="仿宋_GB2312" w:hAnsi="仿宋_GB2312" w:eastAsia="仿宋_GB2312" w:cs="仿宋_GB2312"/>
                <w:color w:val="000000"/>
                <w:kern w:val="0"/>
                <w:szCs w:val="21"/>
                <w:lang w:eastAsia="zh-CN"/>
              </w:rPr>
              <w:t>千瓦时</w:t>
            </w:r>
            <w:r>
              <w:rPr>
                <w:rFonts w:hint="eastAsia" w:ascii="仿宋_GB2312" w:hAnsi="仿宋_GB2312" w:eastAsia="仿宋_GB2312" w:cs="仿宋_GB2312"/>
                <w:color w:val="000000"/>
                <w:kern w:val="0"/>
                <w:szCs w:val="21"/>
              </w:rPr>
              <w:t>）</w:t>
            </w:r>
          </w:p>
        </w:tc>
        <w:tc>
          <w:tcPr>
            <w:tcW w:w="906" w:type="dxa"/>
            <w:tcBorders>
              <w:top w:val="nil"/>
              <w:left w:val="nil"/>
              <w:bottom w:val="single" w:color="auto" w:sz="8" w:space="0"/>
              <w:right w:val="single" w:color="auto" w:sz="8" w:space="0"/>
            </w:tcBorders>
            <w:vAlign w:val="center"/>
          </w:tcPr>
          <w:p w14:paraId="2C97BC9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（元）</w:t>
            </w:r>
          </w:p>
        </w:tc>
        <w:tc>
          <w:tcPr>
            <w:tcW w:w="510" w:type="dxa"/>
            <w:vMerge w:val="continue"/>
            <w:tcBorders>
              <w:top w:val="single" w:color="auto" w:sz="8" w:space="0"/>
              <w:left w:val="single" w:color="auto" w:sz="8" w:space="0"/>
              <w:bottom w:val="single" w:color="000000" w:sz="8" w:space="0"/>
              <w:right w:val="single" w:color="auto" w:sz="8" w:space="0"/>
            </w:tcBorders>
            <w:vAlign w:val="center"/>
          </w:tcPr>
          <w:p w14:paraId="4F44F18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Cs w:val="21"/>
              </w:rPr>
            </w:pPr>
          </w:p>
        </w:tc>
        <w:tc>
          <w:tcPr>
            <w:tcW w:w="960" w:type="dxa"/>
            <w:vMerge w:val="continue"/>
            <w:tcBorders>
              <w:left w:val="nil"/>
              <w:bottom w:val="single" w:color="auto" w:sz="8" w:space="0"/>
              <w:right w:val="single" w:color="auto" w:sz="8" w:space="0"/>
            </w:tcBorders>
            <w:vAlign w:val="center"/>
          </w:tcPr>
          <w:p w14:paraId="6BB6687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Cs w:val="21"/>
              </w:rPr>
            </w:pPr>
          </w:p>
        </w:tc>
        <w:tc>
          <w:tcPr>
            <w:tcW w:w="1110" w:type="dxa"/>
            <w:vMerge w:val="continue"/>
            <w:tcBorders>
              <w:top w:val="single" w:color="auto" w:sz="8" w:space="0"/>
              <w:left w:val="single" w:color="auto" w:sz="8" w:space="0"/>
              <w:bottom w:val="single" w:color="000000" w:sz="8" w:space="0"/>
              <w:right w:val="single" w:color="auto" w:sz="8" w:space="0"/>
            </w:tcBorders>
            <w:vAlign w:val="center"/>
          </w:tcPr>
          <w:p w14:paraId="5C185A9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Cs w:val="21"/>
              </w:rPr>
            </w:pPr>
          </w:p>
        </w:tc>
      </w:tr>
      <w:tr w14:paraId="7D3DFCE6">
        <w:tblPrEx>
          <w:tblCellMar>
            <w:top w:w="0" w:type="dxa"/>
            <w:left w:w="108" w:type="dxa"/>
            <w:bottom w:w="0" w:type="dxa"/>
            <w:right w:w="108" w:type="dxa"/>
          </w:tblCellMar>
        </w:tblPrEx>
        <w:trPr>
          <w:trHeight w:val="7329" w:hRule="atLeast"/>
        </w:trPr>
        <w:tc>
          <w:tcPr>
            <w:tcW w:w="436" w:type="dxa"/>
            <w:tcBorders>
              <w:top w:val="nil"/>
              <w:left w:val="single" w:color="auto" w:sz="8" w:space="0"/>
              <w:bottom w:val="single" w:color="000000" w:sz="8" w:space="0"/>
              <w:right w:val="single" w:color="auto" w:sz="8" w:space="0"/>
            </w:tcBorders>
            <w:noWrap/>
            <w:vAlign w:val="center"/>
          </w:tcPr>
          <w:p w14:paraId="5E4FC3F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Cs w:val="21"/>
              </w:rPr>
            </w:pPr>
            <w:bookmarkStart w:id="0" w:name="_Hlk84662127"/>
            <w:r>
              <w:rPr>
                <w:rFonts w:hint="eastAsia" w:ascii="仿宋_GB2312" w:hAnsi="仿宋_GB2312" w:eastAsia="仿宋_GB2312" w:cs="仿宋_GB2312"/>
                <w:color w:val="000000"/>
                <w:kern w:val="0"/>
                <w:szCs w:val="21"/>
              </w:rPr>
              <w:t>1</w:t>
            </w:r>
          </w:p>
        </w:tc>
        <w:tc>
          <w:tcPr>
            <w:tcW w:w="692" w:type="dxa"/>
            <w:tcBorders>
              <w:top w:val="nil"/>
              <w:left w:val="single" w:color="auto" w:sz="8" w:space="0"/>
              <w:bottom w:val="single" w:color="000000" w:sz="8" w:space="0"/>
              <w:right w:val="single" w:color="auto" w:sz="8" w:space="0"/>
            </w:tcBorders>
            <w:vAlign w:val="center"/>
          </w:tcPr>
          <w:p w14:paraId="1AEAB11F">
            <w:pPr>
              <w:keepNext w:val="0"/>
              <w:keepLines w:val="0"/>
              <w:pageBreakBefore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高新广场</w:t>
            </w:r>
          </w:p>
        </w:tc>
        <w:tc>
          <w:tcPr>
            <w:tcW w:w="984" w:type="dxa"/>
            <w:tcBorders>
              <w:top w:val="nil"/>
              <w:left w:val="single" w:color="auto" w:sz="8" w:space="0"/>
              <w:bottom w:val="single" w:color="000000" w:sz="8" w:space="0"/>
              <w:right w:val="single" w:color="auto" w:sz="8" w:space="0"/>
            </w:tcBorders>
            <w:vAlign w:val="center"/>
          </w:tcPr>
          <w:p w14:paraId="67E1F7F8">
            <w:pPr>
              <w:keepNext w:val="0"/>
              <w:keepLines w:val="0"/>
              <w:pageBreakBefore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厦门市湖里区火炬路319-2号高新广场公寓楼南侧电动自行车停车位</w:t>
            </w:r>
          </w:p>
          <w:p w14:paraId="086038F4">
            <w:pPr>
              <w:keepNext w:val="0"/>
              <w:keepLines w:val="0"/>
              <w:pageBreakBefore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仿宋_GB2312" w:hAnsi="仿宋_GB2312" w:eastAsia="仿宋_GB2312" w:cs="仿宋_GB2312"/>
                <w:lang w:val="en-US" w:eastAsia="zh-CN"/>
              </w:rPr>
            </w:pPr>
          </w:p>
        </w:tc>
        <w:tc>
          <w:tcPr>
            <w:tcW w:w="847" w:type="dxa"/>
            <w:tcBorders>
              <w:top w:val="nil"/>
              <w:left w:val="single" w:color="auto" w:sz="8" w:space="0"/>
              <w:bottom w:val="single" w:color="000000" w:sz="8" w:space="0"/>
              <w:right w:val="single" w:color="auto" w:sz="8" w:space="0"/>
            </w:tcBorders>
            <w:vAlign w:val="center"/>
          </w:tcPr>
          <w:p w14:paraId="5CFD0512">
            <w:pPr>
              <w:keepNext w:val="0"/>
              <w:keepLines w:val="0"/>
              <w:pageBreakBefore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电动自行车</w:t>
            </w:r>
            <w:bookmarkStart w:id="2" w:name="_GoBack"/>
            <w:bookmarkEnd w:id="2"/>
            <w:r>
              <w:rPr>
                <w:rFonts w:hint="eastAsia" w:ascii="仿宋_GB2312" w:hAnsi="仿宋_GB2312" w:eastAsia="仿宋_GB2312" w:cs="仿宋_GB2312"/>
                <w:lang w:val="en-US" w:eastAsia="zh-CN"/>
              </w:rPr>
              <w:t>充电桩</w:t>
            </w:r>
          </w:p>
        </w:tc>
        <w:tc>
          <w:tcPr>
            <w:tcW w:w="2250" w:type="dxa"/>
            <w:tcBorders>
              <w:top w:val="nil"/>
              <w:left w:val="nil"/>
              <w:bottom w:val="single" w:color="auto" w:sz="8" w:space="0"/>
              <w:right w:val="single" w:color="auto" w:sz="8" w:space="0"/>
            </w:tcBorders>
            <w:shd w:val="clear" w:color="000000" w:fill="FFFFFF"/>
          </w:tcPr>
          <w:p w14:paraId="210BD511">
            <w:pPr>
              <w:keepNext w:val="0"/>
              <w:keepLines w:val="0"/>
              <w:pageBreakBefore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1、独立法人资格，具备电动自行车充电设施建设资质及运营管理平台；</w:t>
            </w:r>
          </w:p>
          <w:p w14:paraId="77AC3C3B">
            <w:pPr>
              <w:keepNext w:val="0"/>
              <w:keepLines w:val="0"/>
              <w:pageBreakBefore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2、需在我国境内有效注册且经合法年检、依法纳税、遵守我国的法律、法规，具有独立企业法人资格或个体工商经营户；</w:t>
            </w:r>
          </w:p>
          <w:p w14:paraId="09051878">
            <w:pPr>
              <w:keepNext w:val="0"/>
              <w:keepLines w:val="0"/>
              <w:pageBreakBefore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3、具有履行合同所必需的能力；</w:t>
            </w:r>
          </w:p>
          <w:p w14:paraId="0B45BB67">
            <w:pPr>
              <w:keepNext w:val="0"/>
              <w:keepLines w:val="0"/>
              <w:pageBreakBefore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竞租人不得被“信用中国”网站中列入失信被执行人和重大税收违法案件当事人名单，不得为中国政府采购网（www.ccgp.gov.cn）政府采购严重违法失信行为记录名单中被财政部门禁止参加政府采购活动的供应商。</w:t>
            </w:r>
          </w:p>
        </w:tc>
        <w:tc>
          <w:tcPr>
            <w:tcW w:w="1394" w:type="dxa"/>
            <w:tcBorders>
              <w:top w:val="nil"/>
              <w:left w:val="single" w:color="auto" w:sz="8" w:space="0"/>
              <w:bottom w:val="single" w:color="000000" w:sz="8" w:space="0"/>
              <w:right w:val="single" w:color="auto" w:sz="8" w:space="0"/>
            </w:tcBorders>
            <w:vAlign w:val="center"/>
          </w:tcPr>
          <w:p w14:paraId="1E22D36E">
            <w:pPr>
              <w:keepNext w:val="0"/>
              <w:keepLines w:val="0"/>
              <w:pageBreakBefore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充电总端口数共计100个，智能充电设备共计10台（含雨棚）。其中首批建设数量≥充电端口数20个，智能充电设备2台，建成投入运行后视用户充电需求及招租人要求适时增设充电设备。最终以实际勘察设计方案为准。</w:t>
            </w:r>
          </w:p>
        </w:tc>
        <w:tc>
          <w:tcPr>
            <w:tcW w:w="877" w:type="dxa"/>
            <w:tcBorders>
              <w:top w:val="nil"/>
              <w:left w:val="single" w:color="auto" w:sz="8" w:space="0"/>
              <w:bottom w:val="single" w:color="000000" w:sz="8" w:space="0"/>
              <w:right w:val="single" w:color="auto" w:sz="8" w:space="0"/>
            </w:tcBorders>
            <w:vAlign w:val="center"/>
          </w:tcPr>
          <w:p w14:paraId="3E5C557D">
            <w:pPr>
              <w:keepNext w:val="0"/>
              <w:keepLines w:val="0"/>
              <w:pageBreakBefore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0.28</w:t>
            </w:r>
          </w:p>
        </w:tc>
        <w:tc>
          <w:tcPr>
            <w:tcW w:w="906" w:type="dxa"/>
            <w:tcBorders>
              <w:top w:val="nil"/>
              <w:left w:val="single" w:color="auto" w:sz="8" w:space="0"/>
              <w:bottom w:val="single" w:color="000000" w:sz="8" w:space="0"/>
              <w:right w:val="single" w:color="auto" w:sz="8" w:space="0"/>
            </w:tcBorders>
            <w:vAlign w:val="center"/>
          </w:tcPr>
          <w:p w14:paraId="6145B6EA">
            <w:pPr>
              <w:keepNext w:val="0"/>
              <w:keepLines w:val="0"/>
              <w:pageBreakBefore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10000</w:t>
            </w:r>
          </w:p>
        </w:tc>
        <w:tc>
          <w:tcPr>
            <w:tcW w:w="510" w:type="dxa"/>
            <w:tcBorders>
              <w:top w:val="nil"/>
              <w:left w:val="single" w:color="auto" w:sz="8" w:space="0"/>
              <w:bottom w:val="single" w:color="000000" w:sz="8" w:space="0"/>
              <w:right w:val="single" w:color="auto" w:sz="8" w:space="0"/>
            </w:tcBorders>
            <w:noWrap/>
            <w:vAlign w:val="center"/>
          </w:tcPr>
          <w:p w14:paraId="15BE76EB">
            <w:pPr>
              <w:keepNext w:val="0"/>
              <w:keepLines w:val="0"/>
              <w:pageBreakBefore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5年</w:t>
            </w:r>
          </w:p>
          <w:p w14:paraId="17DE2CF8">
            <w:pPr>
              <w:keepNext w:val="0"/>
              <w:keepLines w:val="0"/>
              <w:pageBreakBefore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仿宋_GB2312" w:hAnsi="仿宋_GB2312" w:eastAsia="仿宋_GB2312" w:cs="仿宋_GB2312"/>
                <w:lang w:val="en-US" w:eastAsia="zh-CN"/>
              </w:rPr>
            </w:pPr>
          </w:p>
        </w:tc>
        <w:tc>
          <w:tcPr>
            <w:tcW w:w="960" w:type="dxa"/>
            <w:tcBorders>
              <w:top w:val="nil"/>
              <w:left w:val="single" w:color="auto" w:sz="8" w:space="0"/>
              <w:bottom w:val="single" w:color="000000" w:sz="8" w:space="0"/>
              <w:right w:val="single" w:color="auto" w:sz="8" w:space="0"/>
            </w:tcBorders>
            <w:vAlign w:val="center"/>
          </w:tcPr>
          <w:p w14:paraId="00962797">
            <w:pPr>
              <w:keepNext w:val="0"/>
              <w:keepLines w:val="0"/>
              <w:pageBreakBefore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10000</w:t>
            </w:r>
          </w:p>
        </w:tc>
        <w:tc>
          <w:tcPr>
            <w:tcW w:w="1110" w:type="dxa"/>
            <w:tcBorders>
              <w:top w:val="nil"/>
              <w:left w:val="single" w:color="auto" w:sz="8" w:space="0"/>
              <w:bottom w:val="single" w:color="000000" w:sz="8" w:space="0"/>
              <w:right w:val="single" w:color="auto" w:sz="8" w:space="0"/>
            </w:tcBorders>
            <w:noWrap/>
            <w:vAlign w:val="center"/>
          </w:tcPr>
          <w:p w14:paraId="6F36657E">
            <w:pPr>
              <w:keepNext w:val="0"/>
              <w:keepLines w:val="0"/>
              <w:pageBreakBefore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竞租底价0.28元/千瓦时，为承租方每产生1度充电电量，需上缴招租方的最低收益分成标准，竞价报价不得低于该数值，报价高者竞得。</w:t>
            </w:r>
          </w:p>
          <w:p w14:paraId="655E08EA">
            <w:pPr>
              <w:keepNext w:val="0"/>
              <w:keepLines w:val="0"/>
              <w:pageBreakBefore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w:t>
            </w:r>
          </w:p>
        </w:tc>
      </w:tr>
      <w:bookmarkEnd w:id="0"/>
    </w:tbl>
    <w:p w14:paraId="45AAAC48">
      <w:pPr>
        <w:keepNext w:val="0"/>
        <w:keepLines w:val="0"/>
        <w:pageBreakBefore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highlight w:val="none"/>
          <w:u w:val="none"/>
          <w:lang w:val="en-US" w:eastAsia="zh-CN"/>
        </w:rPr>
      </w:pPr>
      <w:r>
        <w:rPr>
          <w:rFonts w:hint="eastAsia" w:ascii="仿宋_GB2312" w:hAnsi="仿宋_GB2312" w:eastAsia="仿宋_GB2312" w:cs="仿宋_GB2312"/>
          <w:b/>
          <w:kern w:val="0"/>
          <w:sz w:val="24"/>
          <w:szCs w:val="21"/>
          <w:lang w:eastAsia="zh-CN"/>
        </w:rPr>
        <w:t>标的物</w:t>
      </w:r>
      <w:r>
        <w:rPr>
          <w:rFonts w:hint="eastAsia" w:ascii="仿宋_GB2312" w:hAnsi="仿宋_GB2312" w:eastAsia="仿宋_GB2312" w:cs="仿宋_GB2312"/>
          <w:b/>
          <w:kern w:val="0"/>
          <w:sz w:val="24"/>
          <w:szCs w:val="21"/>
        </w:rPr>
        <w:t>所在地：</w:t>
      </w:r>
      <w:r>
        <w:rPr>
          <w:rFonts w:hint="eastAsia" w:ascii="仿宋_GB2312" w:hAnsi="仿宋_GB2312" w:eastAsia="仿宋_GB2312" w:cs="仿宋_GB2312"/>
          <w:sz w:val="24"/>
          <w:szCs w:val="24"/>
          <w:highlight w:val="none"/>
          <w:u w:val="none"/>
          <w:lang w:val="en-US" w:eastAsia="zh-CN"/>
        </w:rPr>
        <w:t>厦门市湖里区火炬路319-2号高新广场公寓楼南侧电动自行车停车位</w:t>
      </w:r>
    </w:p>
    <w:p w14:paraId="52D5DFE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eastAsia="宋体"/>
          <w:lang w:val="en-US" w:eastAsia="zh-CN"/>
        </w:rPr>
      </w:pPr>
    </w:p>
    <w:p w14:paraId="7A7613E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kern w:val="0"/>
          <w:sz w:val="24"/>
          <w:szCs w:val="21"/>
        </w:rPr>
      </w:pPr>
    </w:p>
    <w:p w14:paraId="1E5BA4D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微软雅黑" w:hAnsi="微软雅黑" w:eastAsia="微软雅黑" w:cs="宋体"/>
          <w:b/>
          <w:kern w:val="0"/>
          <w:sz w:val="24"/>
          <w:szCs w:val="24"/>
        </w:rPr>
      </w:pPr>
      <w:r>
        <w:rPr>
          <w:rFonts w:ascii="微软雅黑" w:hAnsi="微软雅黑" w:eastAsia="微软雅黑" w:cs="宋体"/>
          <w:b/>
          <w:kern w:val="0"/>
          <w:sz w:val="24"/>
          <w:szCs w:val="24"/>
        </w:rPr>
        <w:br w:type="page"/>
      </w:r>
    </w:p>
    <w:p w14:paraId="2953797D">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仿宋_GB2312" w:hAnsi="仿宋_GB2312" w:eastAsia="仿宋_GB2312" w:cs="仿宋_GB2312"/>
          <w:sz w:val="24"/>
          <w:szCs w:val="28"/>
          <w:lang w:val="en-US" w:eastAsia="zh-CN"/>
        </w:rPr>
      </w:pPr>
      <w:bookmarkStart w:id="1" w:name="_Hlk84671680"/>
      <w:r>
        <w:rPr>
          <w:rFonts w:hint="eastAsia" w:ascii="仿宋_GB2312" w:hAnsi="仿宋_GB2312" w:eastAsia="仿宋_GB2312" w:cs="仿宋_GB2312"/>
          <w:sz w:val="24"/>
          <w:szCs w:val="28"/>
          <w:lang w:val="en-US" w:eastAsia="zh-CN"/>
        </w:rPr>
        <w:t>场地示意图</w:t>
      </w:r>
      <w:bookmarkEnd w:id="1"/>
      <w:r>
        <w:rPr>
          <w:rFonts w:hint="eastAsia" w:ascii="仿宋_GB2312" w:hAnsi="仿宋_GB2312" w:eastAsia="仿宋_GB2312" w:cs="仿宋_GB2312"/>
          <w:sz w:val="24"/>
          <w:szCs w:val="28"/>
          <w:lang w:val="en-US" w:eastAsia="zh-CN"/>
        </w:rPr>
        <w:t>：</w:t>
      </w:r>
    </w:p>
    <w:p w14:paraId="0682AA87">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仿宋_GB2312" w:hAnsi="仿宋_GB2312" w:eastAsia="仿宋_GB2312" w:cs="仿宋_GB2312"/>
          <w:sz w:val="24"/>
          <w:szCs w:val="28"/>
          <w:lang w:val="en-US" w:eastAsia="zh-CN"/>
        </w:rPr>
      </w:pPr>
      <w:r>
        <w:drawing>
          <wp:anchor distT="0" distB="0" distL="114300" distR="114300" simplePos="0" relativeHeight="251659264" behindDoc="0" locked="0" layoutInCell="1" allowOverlap="1">
            <wp:simplePos x="0" y="0"/>
            <wp:positionH relativeFrom="column">
              <wp:posOffset>-38100</wp:posOffset>
            </wp:positionH>
            <wp:positionV relativeFrom="paragraph">
              <wp:posOffset>203200</wp:posOffset>
            </wp:positionV>
            <wp:extent cx="5264785" cy="3675380"/>
            <wp:effectExtent l="0" t="0" r="12065" b="127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5264785" cy="3675380"/>
                    </a:xfrm>
                    <a:prstGeom prst="rect">
                      <a:avLst/>
                    </a:prstGeom>
                    <a:noFill/>
                    <a:ln>
                      <a:noFill/>
                    </a:ln>
                  </pic:spPr>
                </pic:pic>
              </a:graphicData>
            </a:graphic>
          </wp:anchor>
        </w:drawing>
      </w:r>
    </w:p>
    <w:p w14:paraId="4EE694B1">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仿宋_GB2312" w:hAnsi="仿宋_GB2312" w:eastAsia="仿宋_GB2312" w:cs="仿宋_GB2312"/>
          <w:sz w:val="24"/>
          <w:szCs w:val="28"/>
          <w:lang w:val="en-US" w:eastAsia="zh-CN"/>
        </w:rPr>
      </w:pPr>
    </w:p>
    <w:p w14:paraId="387AC69E">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仿宋_GB2312" w:hAnsi="仿宋_GB2312" w:eastAsia="仿宋_GB2312" w:cs="仿宋_GB2312"/>
          <w:sz w:val="24"/>
          <w:szCs w:val="28"/>
          <w:lang w:val="en-US" w:eastAsia="zh-CN"/>
        </w:rPr>
      </w:pPr>
    </w:p>
    <w:p w14:paraId="59CF1F8D">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仿宋_GB2312" w:hAnsi="仿宋_GB2312" w:eastAsia="仿宋_GB2312" w:cs="仿宋_GB2312"/>
          <w:sz w:val="24"/>
          <w:szCs w:val="28"/>
          <w:lang w:val="en-US" w:eastAsia="zh-CN"/>
        </w:rPr>
      </w:pPr>
      <w:r>
        <w:rPr>
          <w:rFonts w:hint="eastAsia" w:ascii="仿宋_GB2312" w:hAnsi="仿宋_GB2312" w:eastAsia="仿宋_GB2312" w:cs="仿宋_GB2312"/>
          <w:sz w:val="24"/>
          <w:szCs w:val="28"/>
          <w:lang w:val="en-US" w:eastAsia="zh-CN"/>
        </w:rPr>
        <w:t xml:space="preserve">特别说明: </w:t>
      </w:r>
    </w:p>
    <w:p w14:paraId="4D56D0CA">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仿宋_GB2312" w:hAnsi="仿宋_GB2312" w:eastAsia="仿宋_GB2312" w:cs="仿宋_GB2312"/>
          <w:sz w:val="24"/>
          <w:szCs w:val="28"/>
          <w:lang w:val="en-US" w:eastAsia="zh-CN"/>
        </w:rPr>
      </w:pPr>
      <w:r>
        <w:rPr>
          <w:rFonts w:hint="eastAsia" w:ascii="仿宋_GB2312" w:hAnsi="仿宋_GB2312" w:eastAsia="仿宋_GB2312" w:cs="仿宋_GB2312"/>
          <w:sz w:val="24"/>
          <w:szCs w:val="28"/>
          <w:lang w:val="en-US" w:eastAsia="zh-CN"/>
        </w:rPr>
        <w:t>1、本次竞租底价为充电收益分成底价，竞租人需按每千瓦时充电电量向招租方缴纳收益分成，分成底价标准为 0.28 元 / 千瓦时，遵循价高者得原则确定竞租结果。</w:t>
      </w:r>
    </w:p>
    <w:p w14:paraId="2DF0D083">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仿宋_GB2312" w:hAnsi="仿宋_GB2312" w:eastAsia="仿宋_GB2312" w:cs="仿宋_GB2312"/>
          <w:sz w:val="24"/>
          <w:szCs w:val="28"/>
          <w:lang w:val="en-US" w:eastAsia="zh-CN"/>
        </w:rPr>
      </w:pPr>
      <w:r>
        <w:rPr>
          <w:rFonts w:hint="eastAsia" w:ascii="仿宋_GB2312" w:hAnsi="仿宋_GB2312" w:eastAsia="仿宋_GB2312" w:cs="仿宋_GB2312"/>
          <w:sz w:val="24"/>
          <w:szCs w:val="28"/>
          <w:lang w:val="en-US" w:eastAsia="zh-CN"/>
        </w:rPr>
        <w:t>2、园区物业管理单位按照厦门工商业用电收费标准（闽发改规[2023]8号）向竞租人收取基础电费，含自用电费、工业用电的基本电费和电费公摊，并统一代缴电费，不计入本次竞租收益分成范畴。</w:t>
      </w:r>
    </w:p>
    <w:p w14:paraId="7C3B9D96">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仿宋_GB2312" w:hAnsi="仿宋_GB2312" w:eastAsia="仿宋_GB2312" w:cs="仿宋_GB2312"/>
          <w:sz w:val="24"/>
          <w:szCs w:val="28"/>
          <w:lang w:val="en-US" w:eastAsia="zh-CN"/>
        </w:rPr>
      </w:pPr>
      <w:r>
        <w:rPr>
          <w:rFonts w:hint="eastAsia" w:ascii="仿宋_GB2312" w:hAnsi="仿宋_GB2312" w:eastAsia="仿宋_GB2312" w:cs="仿宋_GB2312"/>
          <w:sz w:val="24"/>
          <w:szCs w:val="28"/>
          <w:lang w:val="en-US" w:eastAsia="zh-CN"/>
        </w:rPr>
        <w:t>不计入本次竞租收益分成范畴。</w:t>
      </w:r>
    </w:p>
    <w:p w14:paraId="2A4F432A">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仿宋_GB2312" w:hAnsi="仿宋_GB2312" w:eastAsia="仿宋_GB2312" w:cs="仿宋_GB2312"/>
          <w:sz w:val="24"/>
          <w:szCs w:val="28"/>
          <w:lang w:val="en-US" w:eastAsia="zh-CN"/>
        </w:rPr>
      </w:pPr>
      <w:r>
        <w:rPr>
          <w:rFonts w:hint="eastAsia" w:ascii="仿宋_GB2312" w:hAnsi="仿宋_GB2312" w:eastAsia="仿宋_GB2312" w:cs="仿宋_GB2312"/>
          <w:sz w:val="24"/>
          <w:szCs w:val="28"/>
          <w:lang w:val="en-US" w:eastAsia="zh-CN"/>
        </w:rPr>
        <w:t>3、凡拟意向报名参加本次竞租的竞租人，在日常经营管理中，如存在不良经营记录，被媒体曝光或存在投诉记录等不良行为的，不得参与本次竞租。</w:t>
      </w:r>
    </w:p>
    <w:p w14:paraId="569E6C9C">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仿宋_GB2312" w:hAnsi="仿宋_GB2312" w:eastAsia="仿宋_GB2312" w:cs="仿宋_GB2312"/>
          <w:sz w:val="24"/>
          <w:szCs w:val="28"/>
          <w:lang w:val="en-US" w:eastAsia="zh-CN"/>
        </w:rPr>
      </w:pPr>
      <w:r>
        <w:rPr>
          <w:rFonts w:hint="eastAsia" w:ascii="仿宋_GB2312" w:hAnsi="仿宋_GB2312" w:eastAsia="仿宋_GB2312" w:cs="仿宋_GB2312"/>
          <w:sz w:val="24"/>
          <w:szCs w:val="28"/>
          <w:lang w:val="en-US" w:eastAsia="zh-CN"/>
        </w:rPr>
        <w:t>4、凡拟意向报名参加本次竞租的竞租人，在“国家企业信用信息系统（www.gsxt.gov.cn）”中被列入经营异常名录信息、列入严重违法失信企业名单（黑名单）信息的，不得参与本次竞租。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C01000"/>
    <w:rsid w:val="000059DC"/>
    <w:rsid w:val="00080CF2"/>
    <w:rsid w:val="000D73CC"/>
    <w:rsid w:val="000E4C56"/>
    <w:rsid w:val="000F2746"/>
    <w:rsid w:val="00164B34"/>
    <w:rsid w:val="001C3034"/>
    <w:rsid w:val="00222F27"/>
    <w:rsid w:val="00245CCD"/>
    <w:rsid w:val="002B3897"/>
    <w:rsid w:val="003212FD"/>
    <w:rsid w:val="003B4DBE"/>
    <w:rsid w:val="004D5229"/>
    <w:rsid w:val="00514E26"/>
    <w:rsid w:val="00683EAA"/>
    <w:rsid w:val="007146C0"/>
    <w:rsid w:val="0079731D"/>
    <w:rsid w:val="007A0B05"/>
    <w:rsid w:val="007E780B"/>
    <w:rsid w:val="008420D1"/>
    <w:rsid w:val="0087561B"/>
    <w:rsid w:val="008B65EF"/>
    <w:rsid w:val="008D4543"/>
    <w:rsid w:val="009A62E3"/>
    <w:rsid w:val="00A6035E"/>
    <w:rsid w:val="00A642F0"/>
    <w:rsid w:val="00C01000"/>
    <w:rsid w:val="00C23A86"/>
    <w:rsid w:val="00C5436D"/>
    <w:rsid w:val="00C96927"/>
    <w:rsid w:val="00D6602E"/>
    <w:rsid w:val="00DF7481"/>
    <w:rsid w:val="00F875EE"/>
    <w:rsid w:val="00FD66FF"/>
    <w:rsid w:val="0AFF7146"/>
    <w:rsid w:val="0FFE1500"/>
    <w:rsid w:val="14F757F3"/>
    <w:rsid w:val="17DDCC8E"/>
    <w:rsid w:val="28FF6BCA"/>
    <w:rsid w:val="2BE23FB2"/>
    <w:rsid w:val="2EFE32BB"/>
    <w:rsid w:val="2EFF6BB2"/>
    <w:rsid w:val="2FEBDD8E"/>
    <w:rsid w:val="2FF71E5D"/>
    <w:rsid w:val="2FFBBEAE"/>
    <w:rsid w:val="39BF417C"/>
    <w:rsid w:val="3B5FB915"/>
    <w:rsid w:val="3B5FC831"/>
    <w:rsid w:val="3BE9353D"/>
    <w:rsid w:val="3DF38CF8"/>
    <w:rsid w:val="3E1696A5"/>
    <w:rsid w:val="3FB725A3"/>
    <w:rsid w:val="3FCF7E29"/>
    <w:rsid w:val="3FF7B7B5"/>
    <w:rsid w:val="3FFD73E9"/>
    <w:rsid w:val="3FFF2980"/>
    <w:rsid w:val="43EB6E19"/>
    <w:rsid w:val="4FFE9AAC"/>
    <w:rsid w:val="50FF6B56"/>
    <w:rsid w:val="577F1504"/>
    <w:rsid w:val="59DF0F44"/>
    <w:rsid w:val="5BBD196D"/>
    <w:rsid w:val="5EFE250F"/>
    <w:rsid w:val="5F5E9B21"/>
    <w:rsid w:val="5F796FEC"/>
    <w:rsid w:val="5F7FCAAA"/>
    <w:rsid w:val="5FE79E9C"/>
    <w:rsid w:val="5FEF7D4F"/>
    <w:rsid w:val="5FFDDF2D"/>
    <w:rsid w:val="5FFF23D9"/>
    <w:rsid w:val="667F3F38"/>
    <w:rsid w:val="66FFC349"/>
    <w:rsid w:val="674495AE"/>
    <w:rsid w:val="6CCFF5E8"/>
    <w:rsid w:val="6D0BDBBC"/>
    <w:rsid w:val="6DCFFD05"/>
    <w:rsid w:val="6ECA0D0B"/>
    <w:rsid w:val="6FA7E88F"/>
    <w:rsid w:val="6FB7396F"/>
    <w:rsid w:val="6FC62FB6"/>
    <w:rsid w:val="6FDFE52C"/>
    <w:rsid w:val="6FF73270"/>
    <w:rsid w:val="70C7EA36"/>
    <w:rsid w:val="71BF3203"/>
    <w:rsid w:val="75FF426F"/>
    <w:rsid w:val="775F2654"/>
    <w:rsid w:val="779F9C45"/>
    <w:rsid w:val="77AFE8B4"/>
    <w:rsid w:val="77BC673A"/>
    <w:rsid w:val="79FF61F3"/>
    <w:rsid w:val="7BFF30AB"/>
    <w:rsid w:val="7CCF31D2"/>
    <w:rsid w:val="7D5771D2"/>
    <w:rsid w:val="7D6FC593"/>
    <w:rsid w:val="7D77B7BD"/>
    <w:rsid w:val="7DD36D2C"/>
    <w:rsid w:val="7DEDA0D8"/>
    <w:rsid w:val="7DFF496F"/>
    <w:rsid w:val="7E7F26E6"/>
    <w:rsid w:val="7EB2D040"/>
    <w:rsid w:val="7EEDBEBD"/>
    <w:rsid w:val="7EFFCE44"/>
    <w:rsid w:val="7F333E20"/>
    <w:rsid w:val="7F67998D"/>
    <w:rsid w:val="7F7B6DDD"/>
    <w:rsid w:val="7FCF4FB3"/>
    <w:rsid w:val="7FDF14C4"/>
    <w:rsid w:val="7FEEDD72"/>
    <w:rsid w:val="7FFB2E7F"/>
    <w:rsid w:val="7FFC23A6"/>
    <w:rsid w:val="7FFF258D"/>
    <w:rsid w:val="8FE681B9"/>
    <w:rsid w:val="9FBE456E"/>
    <w:rsid w:val="9FED6C7F"/>
    <w:rsid w:val="A67D31E9"/>
    <w:rsid w:val="A97CCEA6"/>
    <w:rsid w:val="AFD62671"/>
    <w:rsid w:val="B1FD457C"/>
    <w:rsid w:val="B7EF3A08"/>
    <w:rsid w:val="B7FE7272"/>
    <w:rsid w:val="BD5BB59D"/>
    <w:rsid w:val="BF6D5D03"/>
    <w:rsid w:val="CBDD29A0"/>
    <w:rsid w:val="CD6E4AD4"/>
    <w:rsid w:val="CFFF9AFF"/>
    <w:rsid w:val="DDE7A2BE"/>
    <w:rsid w:val="DE6F2C83"/>
    <w:rsid w:val="EECE476C"/>
    <w:rsid w:val="EFDB2F73"/>
    <w:rsid w:val="EFDF3A32"/>
    <w:rsid w:val="EFE90B60"/>
    <w:rsid w:val="EFFDB4FC"/>
    <w:rsid w:val="F24E70C1"/>
    <w:rsid w:val="F3EDF0C9"/>
    <w:rsid w:val="F59E5BC0"/>
    <w:rsid w:val="F6DFCFF7"/>
    <w:rsid w:val="F7EF0CA1"/>
    <w:rsid w:val="F7FF2126"/>
    <w:rsid w:val="F95FE94D"/>
    <w:rsid w:val="F9FF7C7A"/>
    <w:rsid w:val="FAF58AA4"/>
    <w:rsid w:val="FB77A63F"/>
    <w:rsid w:val="FCFE4C9B"/>
    <w:rsid w:val="FDAE3F70"/>
    <w:rsid w:val="FDB6C4FD"/>
    <w:rsid w:val="FDDF6459"/>
    <w:rsid w:val="FEFA1198"/>
    <w:rsid w:val="FEFD8BFC"/>
    <w:rsid w:val="FEFF046A"/>
    <w:rsid w:val="FEFF4E5D"/>
    <w:rsid w:val="FF3ED547"/>
    <w:rsid w:val="FF6DF18F"/>
    <w:rsid w:val="FF7E1178"/>
    <w:rsid w:val="FF8BFFC4"/>
    <w:rsid w:val="FF99DBCD"/>
    <w:rsid w:val="FFE364F3"/>
    <w:rsid w:val="FFF698B6"/>
    <w:rsid w:val="FFF73DE2"/>
    <w:rsid w:val="FFFF0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tabs>
        <w:tab w:val="center" w:pos="4153"/>
        <w:tab w:val="right" w:pos="8306"/>
      </w:tabs>
      <w:snapToGrid w:val="0"/>
      <w:jc w:val="center"/>
    </w:pPr>
    <w:rPr>
      <w:sz w:val="18"/>
      <w:szCs w:val="18"/>
    </w:rPr>
  </w:style>
  <w:style w:type="paragraph" w:styleId="5">
    <w:name w:val="Body Text 2"/>
    <w:qFormat/>
    <w:uiPriority w:val="0"/>
    <w:pPr>
      <w:widowControl w:val="0"/>
      <w:spacing w:after="120" w:line="480" w:lineRule="auto"/>
      <w:ind w:firstLine="682" w:firstLineChars="200"/>
      <w:jc w:val="both"/>
    </w:pPr>
    <w:rPr>
      <w:rFonts w:ascii="Times New Roman" w:hAnsi="Times New Roman" w:eastAsia="仿宋_GB2312" w:cs="Times New Roman"/>
      <w:kern w:val="2"/>
      <w:sz w:val="32"/>
      <w:szCs w:val="24"/>
      <w:lang w:val="en-US" w:eastAsia="zh-CN" w:bidi="ar-SA"/>
    </w:rPr>
  </w:style>
  <w:style w:type="character" w:styleId="8">
    <w:name w:val="Strong"/>
    <w:basedOn w:val="7"/>
    <w:qFormat/>
    <w:uiPriority w:val="22"/>
    <w:rPr>
      <w:b/>
    </w:rPr>
  </w:style>
  <w:style w:type="character" w:customStyle="1" w:styleId="9">
    <w:name w:val="批注框文本 字符"/>
    <w:basedOn w:val="7"/>
    <w:link w:val="2"/>
    <w:semiHidden/>
    <w:qFormat/>
    <w:uiPriority w:val="99"/>
    <w:rPr>
      <w:rFonts w:ascii="Calibri" w:hAnsi="Calibri" w:eastAsia="宋体" w:cs="Times New Roman"/>
      <w:sz w:val="18"/>
      <w:szCs w:val="18"/>
    </w:rPr>
  </w:style>
  <w:style w:type="character" w:customStyle="1" w:styleId="10">
    <w:name w:val="页眉 字符"/>
    <w:basedOn w:val="7"/>
    <w:link w:val="4"/>
    <w:qFormat/>
    <w:uiPriority w:val="99"/>
    <w:rPr>
      <w:rFonts w:ascii="Calibri" w:hAnsi="Calibri" w:eastAsia="宋体" w:cs="Times New Roman"/>
      <w:kern w:val="2"/>
      <w:sz w:val="18"/>
      <w:szCs w:val="18"/>
    </w:rPr>
  </w:style>
  <w:style w:type="character" w:customStyle="1" w:styleId="11">
    <w:name w:val="页脚 字符"/>
    <w:basedOn w:val="7"/>
    <w:link w:val="3"/>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161</Words>
  <Characters>918</Characters>
  <Lines>7</Lines>
  <Paragraphs>2</Paragraphs>
  <TotalTime>3</TotalTime>
  <ScaleCrop>false</ScaleCrop>
  <LinksUpToDate>false</LinksUpToDate>
  <CharactersWithSpaces>1077</CharactersWithSpaces>
  <Application>WPS Office_12.8.2.1114_F1E327BC-269C-435d-A152-05C5408002CA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2023-08-12T06:35:00Z</dcterms:created>
  <dc:creator>xpw</dc:creator>
  <cp:lastModifiedBy>(๑´ㅂ`๑)</cp:lastModifiedBy>
  <dcterms:modified xsi:type="dcterms:W3CDTF">2026-09-04T09:12:48Z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2052-12.8.2.1114</vt:lpwstr>
  </property>
  <property fmtid="{D5CDD505-2E9C-101B-9397-08002B2CF9AE}" pid="3" name="ICV">
    <vt:lpwstr>948B0E0C7431481886237069B3CB016E_42</vt:lpwstr>
  </property>
</Properties>
</file>