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A4B6CA">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宋体"/>
          <w:b/>
          <w:kern w:val="0"/>
          <w:sz w:val="24"/>
          <w:szCs w:val="21"/>
        </w:rPr>
      </w:pPr>
      <w:r>
        <w:rPr>
          <w:rFonts w:hint="eastAsia" w:ascii="宋体" w:hAnsi="宋体" w:cs="宋体"/>
          <w:b/>
          <w:kern w:val="0"/>
          <w:sz w:val="24"/>
          <w:szCs w:val="21"/>
        </w:rPr>
        <w:t>厦门火炬高新区招商服务中心有限公司</w:t>
      </w:r>
    </w:p>
    <w:p w14:paraId="169517B8">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宋体"/>
          <w:b/>
          <w:kern w:val="0"/>
          <w:sz w:val="24"/>
          <w:szCs w:val="21"/>
        </w:rPr>
      </w:pPr>
      <w:r>
        <w:rPr>
          <w:rFonts w:hint="eastAsia" w:ascii="宋体" w:hAnsi="宋体" w:cs="宋体"/>
          <w:b/>
          <w:kern w:val="0"/>
          <w:sz w:val="24"/>
          <w:szCs w:val="21"/>
        </w:rPr>
        <w:t>竞租房</w:t>
      </w:r>
      <w:r>
        <w:rPr>
          <w:rFonts w:ascii="宋体" w:hAnsi="宋体" w:cs="宋体"/>
          <w:b/>
          <w:kern w:val="0"/>
          <w:sz w:val="24"/>
          <w:szCs w:val="21"/>
        </w:rPr>
        <w:t>产明细表</w:t>
      </w:r>
    </w:p>
    <w:p w14:paraId="412424ED">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ascii="宋体" w:hAnsi="宋体" w:cs="宋体"/>
          <w:b/>
          <w:kern w:val="0"/>
          <w:sz w:val="24"/>
          <w:szCs w:val="21"/>
          <w:highlight w:val="none"/>
        </w:rPr>
      </w:pPr>
      <w:r>
        <w:rPr>
          <w:rFonts w:ascii="宋体" w:hAnsi="宋体" w:cs="宋体"/>
          <w:b/>
          <w:kern w:val="0"/>
          <w:sz w:val="24"/>
          <w:szCs w:val="21"/>
          <w:highlight w:val="none"/>
        </w:rPr>
        <w:t>202</w:t>
      </w:r>
      <w:r>
        <w:rPr>
          <w:rFonts w:hint="eastAsia" w:ascii="宋体" w:hAnsi="宋体" w:cs="宋体"/>
          <w:b/>
          <w:kern w:val="0"/>
          <w:sz w:val="24"/>
          <w:szCs w:val="21"/>
          <w:highlight w:val="none"/>
          <w:lang w:val="en-US" w:eastAsia="zh-CN"/>
        </w:rPr>
        <w:t>6</w:t>
      </w:r>
      <w:r>
        <w:rPr>
          <w:rFonts w:ascii="宋体" w:hAnsi="宋体" w:cs="宋体"/>
          <w:b/>
          <w:kern w:val="0"/>
          <w:sz w:val="24"/>
          <w:szCs w:val="21"/>
          <w:highlight w:val="none"/>
        </w:rPr>
        <w:t>年第</w:t>
      </w:r>
      <w:r>
        <w:rPr>
          <w:rFonts w:hint="eastAsia" w:ascii="宋体" w:hAnsi="宋体" w:cs="宋体"/>
          <w:b/>
          <w:kern w:val="0"/>
          <w:sz w:val="24"/>
          <w:szCs w:val="21"/>
          <w:highlight w:val="none"/>
          <w:lang w:val="en-US" w:eastAsia="zh-CN"/>
        </w:rPr>
        <w:t>9</w:t>
      </w:r>
      <w:r>
        <w:rPr>
          <w:rFonts w:ascii="宋体" w:hAnsi="宋体" w:cs="宋体"/>
          <w:b/>
          <w:kern w:val="0"/>
          <w:sz w:val="24"/>
          <w:szCs w:val="21"/>
          <w:highlight w:val="none"/>
        </w:rPr>
        <w:t>期</w:t>
      </w:r>
    </w:p>
    <w:p w14:paraId="1327ADA6">
      <w:pPr>
        <w:keepNext w:val="0"/>
        <w:keepLines w:val="0"/>
        <w:pageBreakBefore w:val="0"/>
        <w:widowControl/>
        <w:kinsoku/>
        <w:wordWrap/>
        <w:overflowPunct/>
        <w:topLinePunct w:val="0"/>
        <w:autoSpaceDE/>
        <w:autoSpaceDN/>
        <w:bidi w:val="0"/>
        <w:adjustRightInd/>
        <w:snapToGrid/>
        <w:spacing w:line="400" w:lineRule="exact"/>
        <w:jc w:val="center"/>
        <w:textAlignment w:val="auto"/>
        <w:rPr>
          <w:rFonts w:hint="default" w:ascii="宋体" w:hAnsi="宋体" w:eastAsia="宋体" w:cs="宋体"/>
          <w:b/>
          <w:kern w:val="0"/>
          <w:sz w:val="21"/>
          <w:szCs w:val="21"/>
          <w:highlight w:val="none"/>
          <w:lang w:val="en-US" w:eastAsia="zh-CN"/>
        </w:rPr>
      </w:pPr>
      <w:r>
        <w:rPr>
          <w:rFonts w:hint="eastAsia" w:ascii="宋体" w:hAnsi="宋体" w:cs="宋体"/>
          <w:b/>
          <w:kern w:val="0"/>
          <w:sz w:val="21"/>
          <w:szCs w:val="21"/>
          <w:highlight w:val="none"/>
        </w:rPr>
        <w:t>一、房屋所在地：</w:t>
      </w:r>
      <w:r>
        <w:rPr>
          <w:rFonts w:hint="eastAsia" w:ascii="宋体" w:hAnsi="宋体" w:eastAsia="宋体" w:cs="宋体"/>
          <w:b/>
          <w:kern w:val="0"/>
          <w:sz w:val="21"/>
          <w:szCs w:val="21"/>
          <w:highlight w:val="none"/>
          <w:lang w:val="en-US" w:eastAsia="zh-CN"/>
        </w:rPr>
        <w:t>厦门市湖里区火炬路319号、319-1号、319-2号共计4处地点</w:t>
      </w:r>
    </w:p>
    <w:tbl>
      <w:tblPr>
        <w:tblStyle w:val="10"/>
        <w:tblW w:w="10598" w:type="dxa"/>
        <w:tblInd w:w="-1168" w:type="dxa"/>
        <w:tblLayout w:type="fixed"/>
        <w:tblCellMar>
          <w:top w:w="0" w:type="dxa"/>
          <w:left w:w="108" w:type="dxa"/>
          <w:bottom w:w="0" w:type="dxa"/>
          <w:right w:w="108" w:type="dxa"/>
        </w:tblCellMar>
      </w:tblPr>
      <w:tblGrid>
        <w:gridCol w:w="704"/>
        <w:gridCol w:w="885"/>
        <w:gridCol w:w="840"/>
        <w:gridCol w:w="675"/>
        <w:gridCol w:w="3150"/>
        <w:gridCol w:w="964"/>
        <w:gridCol w:w="1255"/>
        <w:gridCol w:w="838"/>
        <w:gridCol w:w="491"/>
        <w:gridCol w:w="384"/>
        <w:gridCol w:w="412"/>
      </w:tblGrid>
      <w:tr w14:paraId="51DFA074">
        <w:tblPrEx>
          <w:tblCellMar>
            <w:top w:w="0" w:type="dxa"/>
            <w:left w:w="108" w:type="dxa"/>
            <w:bottom w:w="0" w:type="dxa"/>
            <w:right w:w="108" w:type="dxa"/>
          </w:tblCellMar>
        </w:tblPrEx>
        <w:trPr>
          <w:trHeight w:val="544" w:hRule="atLeast"/>
        </w:trPr>
        <w:tc>
          <w:tcPr>
            <w:tcW w:w="704"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1B5D37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序号</w:t>
            </w:r>
          </w:p>
        </w:tc>
        <w:tc>
          <w:tcPr>
            <w:tcW w:w="88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5629FBAA">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楼号</w:t>
            </w:r>
          </w:p>
        </w:tc>
        <w:tc>
          <w:tcPr>
            <w:tcW w:w="84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11DD213F">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房屋建筑物坐落及名称</w:t>
            </w:r>
          </w:p>
        </w:tc>
        <w:tc>
          <w:tcPr>
            <w:tcW w:w="675"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4B28847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业态要求</w:t>
            </w:r>
          </w:p>
        </w:tc>
        <w:tc>
          <w:tcPr>
            <w:tcW w:w="3150"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7054C21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报名条件</w:t>
            </w:r>
          </w:p>
        </w:tc>
        <w:tc>
          <w:tcPr>
            <w:tcW w:w="964" w:type="dxa"/>
            <w:tcBorders>
              <w:top w:val="single" w:color="auto" w:sz="8" w:space="0"/>
              <w:left w:val="nil"/>
              <w:bottom w:val="single" w:color="auto" w:sz="8" w:space="0"/>
              <w:right w:val="single" w:color="auto" w:sz="8" w:space="0"/>
            </w:tcBorders>
            <w:shd w:val="clear" w:color="auto" w:fill="auto"/>
            <w:vAlign w:val="center"/>
          </w:tcPr>
          <w:p w14:paraId="727AB87E">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lang w:eastAsia="zh-CN"/>
              </w:rPr>
            </w:pPr>
            <w:r>
              <w:rPr>
                <w:rFonts w:hint="eastAsia" w:ascii="仿宋_GB2312" w:hAnsi="仿宋_GB2312" w:eastAsia="仿宋_GB2312" w:cs="仿宋_GB2312"/>
                <w:color w:val="000000"/>
                <w:kern w:val="0"/>
                <w:sz w:val="22"/>
                <w:lang w:eastAsia="zh-CN"/>
              </w:rPr>
              <w:t>数量</w:t>
            </w:r>
            <w:bookmarkStart w:id="2" w:name="_GoBack"/>
            <w:bookmarkEnd w:id="2"/>
          </w:p>
        </w:tc>
        <w:tc>
          <w:tcPr>
            <w:tcW w:w="1255" w:type="dxa"/>
            <w:tcBorders>
              <w:top w:val="single" w:color="auto" w:sz="8" w:space="0"/>
              <w:left w:val="nil"/>
              <w:bottom w:val="single" w:color="auto" w:sz="8" w:space="0"/>
              <w:right w:val="single" w:color="auto" w:sz="8" w:space="0"/>
            </w:tcBorders>
            <w:shd w:val="clear" w:color="auto" w:fill="auto"/>
            <w:vAlign w:val="center"/>
          </w:tcPr>
          <w:p w14:paraId="3C8766A0">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竞标底价</w:t>
            </w:r>
          </w:p>
        </w:tc>
        <w:tc>
          <w:tcPr>
            <w:tcW w:w="838" w:type="dxa"/>
            <w:tcBorders>
              <w:top w:val="single" w:color="auto" w:sz="8" w:space="0"/>
              <w:left w:val="nil"/>
              <w:bottom w:val="single" w:color="auto" w:sz="8" w:space="0"/>
              <w:right w:val="single" w:color="auto" w:sz="8" w:space="0"/>
            </w:tcBorders>
            <w:shd w:val="clear" w:color="auto" w:fill="auto"/>
            <w:vAlign w:val="center"/>
          </w:tcPr>
          <w:p w14:paraId="5CBCF98D">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竞租保证金</w:t>
            </w:r>
          </w:p>
        </w:tc>
        <w:tc>
          <w:tcPr>
            <w:tcW w:w="491" w:type="dxa"/>
            <w:vMerge w:val="restart"/>
            <w:tcBorders>
              <w:top w:val="single" w:color="auto" w:sz="8" w:space="0"/>
              <w:left w:val="single" w:color="auto" w:sz="8" w:space="0"/>
              <w:bottom w:val="single" w:color="000000" w:sz="8" w:space="0"/>
              <w:right w:val="single" w:color="auto" w:sz="8" w:space="0"/>
            </w:tcBorders>
            <w:shd w:val="clear" w:color="auto" w:fill="auto"/>
            <w:vAlign w:val="center"/>
          </w:tcPr>
          <w:p w14:paraId="618B2F6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租赁年限</w:t>
            </w:r>
          </w:p>
        </w:tc>
        <w:tc>
          <w:tcPr>
            <w:tcW w:w="384" w:type="dxa"/>
            <w:vMerge w:val="restart"/>
            <w:tcBorders>
              <w:top w:val="single" w:color="auto" w:sz="8" w:space="0"/>
              <w:left w:val="single" w:color="auto" w:sz="8" w:space="0"/>
              <w:bottom w:val="single" w:color="000000" w:sz="8" w:space="0"/>
              <w:right w:val="single" w:color="auto" w:sz="8" w:space="0"/>
            </w:tcBorders>
            <w:shd w:val="clear" w:color="auto" w:fill="auto"/>
            <w:noWrap/>
            <w:vAlign w:val="center"/>
          </w:tcPr>
          <w:p w14:paraId="044D0D7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lang w:eastAsia="zh-CN"/>
              </w:rPr>
            </w:pPr>
            <w:r>
              <w:rPr>
                <w:rFonts w:hint="eastAsia" w:ascii="仿宋_GB2312" w:hAnsi="仿宋_GB2312" w:eastAsia="仿宋_GB2312" w:cs="仿宋_GB2312"/>
                <w:color w:val="000000"/>
                <w:kern w:val="0"/>
                <w:sz w:val="22"/>
                <w:lang w:val="en-US" w:eastAsia="zh-CN"/>
              </w:rPr>
              <w:t>租赁保证金</w:t>
            </w:r>
          </w:p>
        </w:tc>
        <w:tc>
          <w:tcPr>
            <w:tcW w:w="412" w:type="dxa"/>
            <w:vMerge w:val="restart"/>
            <w:tcBorders>
              <w:top w:val="single" w:color="auto" w:sz="8" w:space="0"/>
              <w:left w:val="single" w:color="auto" w:sz="8" w:space="0"/>
              <w:right w:val="single" w:color="auto" w:sz="8" w:space="0"/>
            </w:tcBorders>
            <w:shd w:val="clear" w:color="auto" w:fill="auto"/>
            <w:noWrap/>
            <w:vAlign w:val="center"/>
          </w:tcPr>
          <w:p w14:paraId="00D2E333">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lang w:val="en-US" w:eastAsia="zh-CN"/>
              </w:rPr>
            </w:pPr>
            <w:r>
              <w:rPr>
                <w:rFonts w:hint="eastAsia" w:ascii="仿宋_GB2312" w:hAnsi="仿宋_GB2312" w:eastAsia="仿宋_GB2312" w:cs="仿宋_GB2312"/>
                <w:color w:val="000000"/>
                <w:kern w:val="0"/>
                <w:sz w:val="22"/>
                <w:lang w:val="en-US" w:eastAsia="zh-CN"/>
              </w:rPr>
              <w:t>备注</w:t>
            </w:r>
          </w:p>
        </w:tc>
      </w:tr>
      <w:tr w14:paraId="3711A763">
        <w:tblPrEx>
          <w:tblCellMar>
            <w:top w:w="0" w:type="dxa"/>
            <w:left w:w="108" w:type="dxa"/>
            <w:bottom w:w="0" w:type="dxa"/>
            <w:right w:w="108" w:type="dxa"/>
          </w:tblCellMar>
        </w:tblPrEx>
        <w:trPr>
          <w:trHeight w:val="544" w:hRule="atLeast"/>
        </w:trPr>
        <w:tc>
          <w:tcPr>
            <w:tcW w:w="704" w:type="dxa"/>
            <w:vMerge w:val="continue"/>
            <w:tcBorders>
              <w:top w:val="single" w:color="auto" w:sz="8" w:space="0"/>
              <w:left w:val="single" w:color="auto" w:sz="8" w:space="0"/>
              <w:bottom w:val="single" w:color="000000" w:sz="8" w:space="0"/>
              <w:right w:val="single" w:color="auto" w:sz="8" w:space="0"/>
            </w:tcBorders>
            <w:vAlign w:val="center"/>
          </w:tcPr>
          <w:p w14:paraId="72F5A3C9">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885" w:type="dxa"/>
            <w:vMerge w:val="continue"/>
            <w:tcBorders>
              <w:top w:val="single" w:color="auto" w:sz="8" w:space="0"/>
              <w:left w:val="single" w:color="auto" w:sz="8" w:space="0"/>
              <w:bottom w:val="single" w:color="000000" w:sz="8" w:space="0"/>
              <w:right w:val="single" w:color="auto" w:sz="8" w:space="0"/>
            </w:tcBorders>
            <w:vAlign w:val="center"/>
          </w:tcPr>
          <w:p w14:paraId="429D6DE7">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840" w:type="dxa"/>
            <w:vMerge w:val="continue"/>
            <w:tcBorders>
              <w:top w:val="single" w:color="auto" w:sz="8" w:space="0"/>
              <w:left w:val="single" w:color="auto" w:sz="8" w:space="0"/>
              <w:bottom w:val="single" w:color="000000" w:sz="8" w:space="0"/>
              <w:right w:val="single" w:color="auto" w:sz="8" w:space="0"/>
            </w:tcBorders>
            <w:vAlign w:val="center"/>
          </w:tcPr>
          <w:p w14:paraId="1BEF9B7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675" w:type="dxa"/>
            <w:vMerge w:val="continue"/>
            <w:tcBorders>
              <w:top w:val="single" w:color="auto" w:sz="8" w:space="0"/>
              <w:left w:val="single" w:color="auto" w:sz="8" w:space="0"/>
              <w:bottom w:val="single" w:color="auto" w:sz="4" w:space="0"/>
              <w:right w:val="single" w:color="auto" w:sz="8" w:space="0"/>
            </w:tcBorders>
            <w:vAlign w:val="center"/>
          </w:tcPr>
          <w:p w14:paraId="5058F8BA">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3150" w:type="dxa"/>
            <w:vMerge w:val="continue"/>
            <w:tcBorders>
              <w:top w:val="single" w:color="auto" w:sz="8" w:space="0"/>
              <w:left w:val="single" w:color="auto" w:sz="8" w:space="0"/>
              <w:bottom w:val="single" w:color="auto" w:sz="4" w:space="0"/>
              <w:right w:val="single" w:color="auto" w:sz="8" w:space="0"/>
            </w:tcBorders>
            <w:vAlign w:val="center"/>
          </w:tcPr>
          <w:p w14:paraId="1507D3BD">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964" w:type="dxa"/>
            <w:tcBorders>
              <w:top w:val="nil"/>
              <w:left w:val="nil"/>
              <w:bottom w:val="single" w:color="auto" w:sz="8" w:space="0"/>
              <w:right w:val="single" w:color="auto" w:sz="8" w:space="0"/>
            </w:tcBorders>
            <w:shd w:val="clear" w:color="auto" w:fill="auto"/>
            <w:vAlign w:val="center"/>
          </w:tcPr>
          <w:p w14:paraId="79B46DE1">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w:t>
            </w:r>
          </w:p>
        </w:tc>
        <w:tc>
          <w:tcPr>
            <w:tcW w:w="1255" w:type="dxa"/>
            <w:tcBorders>
              <w:top w:val="nil"/>
              <w:left w:val="nil"/>
              <w:bottom w:val="single" w:color="auto" w:sz="8" w:space="0"/>
              <w:right w:val="single" w:color="auto" w:sz="8" w:space="0"/>
            </w:tcBorders>
            <w:shd w:val="clear" w:color="auto" w:fill="auto"/>
            <w:vAlign w:val="center"/>
          </w:tcPr>
          <w:p w14:paraId="52FEB515">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（元/</w:t>
            </w:r>
            <w:r>
              <w:rPr>
                <w:rFonts w:hint="eastAsia" w:ascii="仿宋_GB2312" w:hAnsi="仿宋_GB2312" w:eastAsia="仿宋_GB2312" w:cs="仿宋_GB2312"/>
                <w:color w:val="000000"/>
                <w:kern w:val="0"/>
                <w:sz w:val="22"/>
                <w:lang w:eastAsia="zh-CN"/>
              </w:rPr>
              <w:t>组</w:t>
            </w:r>
            <w:r>
              <w:rPr>
                <w:rFonts w:hint="eastAsia" w:ascii="仿宋_GB2312" w:hAnsi="仿宋_GB2312" w:eastAsia="仿宋_GB2312" w:cs="仿宋_GB2312"/>
                <w:color w:val="000000"/>
                <w:kern w:val="0"/>
                <w:sz w:val="22"/>
                <w:lang w:val="en-US" w:eastAsia="zh-CN"/>
              </w:rPr>
              <w:t>/年</w:t>
            </w:r>
            <w:r>
              <w:rPr>
                <w:rFonts w:hint="eastAsia" w:ascii="仿宋_GB2312" w:hAnsi="仿宋_GB2312" w:eastAsia="仿宋_GB2312" w:cs="仿宋_GB2312"/>
                <w:color w:val="000000"/>
                <w:kern w:val="0"/>
                <w:sz w:val="22"/>
              </w:rPr>
              <w:t>）</w:t>
            </w:r>
          </w:p>
        </w:tc>
        <w:tc>
          <w:tcPr>
            <w:tcW w:w="838" w:type="dxa"/>
            <w:tcBorders>
              <w:top w:val="nil"/>
              <w:left w:val="nil"/>
              <w:bottom w:val="single" w:color="auto" w:sz="8" w:space="0"/>
              <w:right w:val="single" w:color="auto" w:sz="8" w:space="0"/>
            </w:tcBorders>
            <w:shd w:val="clear" w:color="auto" w:fill="auto"/>
            <w:vAlign w:val="center"/>
          </w:tcPr>
          <w:p w14:paraId="3D65294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 w:val="22"/>
              </w:rPr>
            </w:pPr>
            <w:r>
              <w:rPr>
                <w:rFonts w:hint="eastAsia" w:ascii="仿宋_GB2312" w:hAnsi="仿宋_GB2312" w:eastAsia="仿宋_GB2312" w:cs="仿宋_GB2312"/>
                <w:color w:val="000000"/>
                <w:kern w:val="0"/>
                <w:sz w:val="22"/>
              </w:rPr>
              <w:t>（元）</w:t>
            </w:r>
          </w:p>
        </w:tc>
        <w:tc>
          <w:tcPr>
            <w:tcW w:w="491" w:type="dxa"/>
            <w:vMerge w:val="continue"/>
            <w:tcBorders>
              <w:top w:val="single" w:color="auto" w:sz="8" w:space="0"/>
              <w:left w:val="single" w:color="auto" w:sz="8" w:space="0"/>
              <w:bottom w:val="single" w:color="000000" w:sz="8" w:space="0"/>
              <w:right w:val="single" w:color="auto" w:sz="8" w:space="0"/>
            </w:tcBorders>
            <w:vAlign w:val="center"/>
          </w:tcPr>
          <w:p w14:paraId="23B14355">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384" w:type="dxa"/>
            <w:vMerge w:val="continue"/>
            <w:tcBorders>
              <w:top w:val="single" w:color="auto" w:sz="8" w:space="0"/>
              <w:left w:val="single" w:color="auto" w:sz="8" w:space="0"/>
              <w:bottom w:val="single" w:color="000000" w:sz="8" w:space="0"/>
              <w:right w:val="single" w:color="auto" w:sz="8" w:space="0"/>
            </w:tcBorders>
            <w:vAlign w:val="center"/>
          </w:tcPr>
          <w:p w14:paraId="684EA882">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c>
          <w:tcPr>
            <w:tcW w:w="412" w:type="dxa"/>
            <w:vMerge w:val="continue"/>
            <w:tcBorders>
              <w:left w:val="single" w:color="auto" w:sz="8" w:space="0"/>
              <w:bottom w:val="single" w:color="000000" w:sz="8" w:space="0"/>
              <w:right w:val="single" w:color="auto" w:sz="8" w:space="0"/>
            </w:tcBorders>
            <w:vAlign w:val="center"/>
          </w:tcPr>
          <w:p w14:paraId="3B2A2CF4">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 w:val="22"/>
              </w:rPr>
            </w:pPr>
          </w:p>
        </w:tc>
      </w:tr>
      <w:tr w14:paraId="52995EB0">
        <w:tblPrEx>
          <w:tblCellMar>
            <w:top w:w="0" w:type="dxa"/>
            <w:left w:w="108" w:type="dxa"/>
            <w:bottom w:w="0" w:type="dxa"/>
            <w:right w:w="108" w:type="dxa"/>
          </w:tblCellMar>
        </w:tblPrEx>
        <w:trPr>
          <w:trHeight w:val="470" w:hRule="atLeast"/>
        </w:trPr>
        <w:tc>
          <w:tcPr>
            <w:tcW w:w="704" w:type="dxa"/>
            <w:tcBorders>
              <w:top w:val="nil"/>
              <w:left w:val="single" w:color="auto" w:sz="8" w:space="0"/>
              <w:bottom w:val="single" w:color="000000" w:sz="8" w:space="0"/>
              <w:right w:val="single" w:color="auto" w:sz="8" w:space="0"/>
            </w:tcBorders>
            <w:shd w:val="clear" w:color="auto" w:fill="auto"/>
            <w:noWrap/>
            <w:vAlign w:val="center"/>
          </w:tcPr>
          <w:p w14:paraId="2D0EAEE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Cs w:val="21"/>
              </w:rPr>
            </w:pPr>
            <w:bookmarkStart w:id="0" w:name="_Hlk84662127"/>
            <w:r>
              <w:rPr>
                <w:rFonts w:hint="eastAsia" w:ascii="仿宋_GB2312" w:hAnsi="仿宋_GB2312" w:eastAsia="仿宋_GB2312" w:cs="仿宋_GB2312"/>
                <w:color w:val="000000"/>
                <w:kern w:val="0"/>
                <w:szCs w:val="21"/>
              </w:rPr>
              <w:t>1</w:t>
            </w:r>
          </w:p>
        </w:tc>
        <w:tc>
          <w:tcPr>
            <w:tcW w:w="1725" w:type="dxa"/>
            <w:gridSpan w:val="2"/>
            <w:tcBorders>
              <w:top w:val="nil"/>
              <w:left w:val="single" w:color="auto" w:sz="8" w:space="0"/>
              <w:bottom w:val="single" w:color="000000" w:sz="8" w:space="0"/>
              <w:right w:val="single" w:color="auto" w:sz="4" w:space="0"/>
            </w:tcBorders>
            <w:shd w:val="clear" w:color="auto" w:fill="auto"/>
            <w:vAlign w:val="center"/>
          </w:tcPr>
          <w:p w14:paraId="7FE2CC72">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共计4处地点（详见示意图）</w:t>
            </w:r>
          </w:p>
        </w:tc>
        <w:tc>
          <w:tcPr>
            <w:tcW w:w="675" w:type="dxa"/>
            <w:tcBorders>
              <w:top w:val="single" w:color="auto" w:sz="4" w:space="0"/>
              <w:left w:val="single" w:color="auto" w:sz="4" w:space="0"/>
              <w:bottom w:val="single" w:color="auto" w:sz="4" w:space="0"/>
              <w:right w:val="single" w:color="auto" w:sz="8" w:space="0"/>
            </w:tcBorders>
            <w:shd w:val="clear" w:color="auto" w:fill="auto"/>
            <w:vAlign w:val="center"/>
          </w:tcPr>
          <w:p w14:paraId="0D3DEDA2">
            <w:pPr>
              <w:keepNext w:val="0"/>
              <w:keepLines w:val="0"/>
              <w:pageBreakBefore w:val="0"/>
              <w:widowControl/>
              <w:kinsoku/>
              <w:wordWrap/>
              <w:overflowPunct/>
              <w:topLinePunct w:val="0"/>
              <w:autoSpaceDE/>
              <w:autoSpaceDN/>
              <w:bidi w:val="0"/>
              <w:adjustRightInd/>
              <w:snapToGrid/>
              <w:spacing w:line="360" w:lineRule="exact"/>
              <w:textAlignment w:val="auto"/>
              <w:rPr>
                <w:rFonts w:hint="eastAsia" w:ascii="仿宋_GB2312" w:hAnsi="仿宋_GB2312" w:eastAsia="仿宋_GB2312" w:cs="仿宋_GB2312"/>
                <w:color w:val="000000"/>
                <w:kern w:val="0"/>
                <w:szCs w:val="21"/>
                <w:lang w:eastAsia="zh-CN"/>
              </w:rPr>
            </w:pPr>
            <w:r>
              <w:rPr>
                <w:rFonts w:hint="eastAsia" w:ascii="仿宋_GB2312" w:hAnsi="仿宋_GB2312" w:eastAsia="仿宋_GB2312" w:cs="仿宋_GB2312"/>
                <w:color w:val="000000"/>
                <w:kern w:val="0"/>
                <w:szCs w:val="21"/>
                <w:lang w:val="en-US" w:eastAsia="zh-CN"/>
              </w:rPr>
              <w:t>快递柜</w:t>
            </w:r>
          </w:p>
        </w:tc>
        <w:tc>
          <w:tcPr>
            <w:tcW w:w="3150" w:type="dxa"/>
            <w:tcBorders>
              <w:top w:val="single" w:color="auto" w:sz="4" w:space="0"/>
              <w:left w:val="nil"/>
              <w:bottom w:val="single" w:color="auto" w:sz="4" w:space="0"/>
              <w:right w:val="single" w:color="auto" w:sz="4" w:space="0"/>
            </w:tcBorders>
            <w:shd w:val="clear" w:color="000000" w:fill="FFFFFF"/>
          </w:tcPr>
          <w:p w14:paraId="3645B877">
            <w:pPr>
              <w:rPr>
                <w:rFonts w:hint="eastAsia" w:ascii="仿宋_GB2312" w:hAnsi="仿宋_GB2312" w:eastAsia="仿宋_GB2312" w:cs="仿宋_GB2312"/>
              </w:rPr>
            </w:pPr>
            <w:r>
              <w:rPr>
                <w:rFonts w:hint="eastAsia" w:ascii="仿宋_GB2312" w:hAnsi="仿宋_GB2312" w:eastAsia="仿宋_GB2312" w:cs="仿宋_GB2312"/>
                <w:lang w:val="en-US" w:eastAsia="zh-CN"/>
              </w:rPr>
              <w:t>1</w:t>
            </w:r>
            <w:r>
              <w:rPr>
                <w:rFonts w:hint="eastAsia" w:ascii="仿宋_GB2312" w:hAnsi="仿宋_GB2312" w:eastAsia="仿宋_GB2312" w:cs="仿宋_GB2312"/>
              </w:rPr>
              <w:t>.需在我国境内有效注册且经合法年检、依法纳税、遵守我国的法律、法规，具有独立企业法人资格或个体工商经营户；</w:t>
            </w:r>
          </w:p>
          <w:p w14:paraId="4CAC8560">
            <w:pPr>
              <w:rPr>
                <w:rFonts w:hint="eastAsia" w:ascii="仿宋_GB2312" w:hAnsi="仿宋_GB2312" w:eastAsia="仿宋_GB2312" w:cs="仿宋_GB2312"/>
              </w:rPr>
            </w:pPr>
            <w:r>
              <w:rPr>
                <w:rFonts w:hint="eastAsia" w:ascii="仿宋_GB2312" w:hAnsi="仿宋_GB2312" w:eastAsia="仿宋_GB2312" w:cs="仿宋_GB2312"/>
                <w:lang w:val="en-US" w:eastAsia="zh-CN"/>
              </w:rPr>
              <w:t>2</w:t>
            </w:r>
            <w:r>
              <w:rPr>
                <w:rFonts w:hint="eastAsia" w:ascii="仿宋_GB2312" w:hAnsi="仿宋_GB2312" w:eastAsia="仿宋_GB2312" w:cs="仿宋_GB2312"/>
              </w:rPr>
              <w:t>.经营内容符合经营范围要求，具备国家规定的合法有效的相应业态经营许可等相关证书；</w:t>
            </w:r>
          </w:p>
          <w:p w14:paraId="184EF085">
            <w:pPr>
              <w:rPr>
                <w:rFonts w:hint="eastAsia" w:ascii="仿宋_GB2312" w:hAnsi="仿宋_GB2312" w:eastAsia="仿宋_GB2312" w:cs="仿宋_GB2312"/>
              </w:rPr>
            </w:pPr>
            <w:r>
              <w:rPr>
                <w:rFonts w:hint="eastAsia" w:ascii="仿宋_GB2312" w:hAnsi="仿宋_GB2312" w:eastAsia="仿宋_GB2312" w:cs="仿宋_GB2312"/>
                <w:lang w:val="en-US" w:eastAsia="zh-CN"/>
              </w:rPr>
              <w:t>3</w:t>
            </w:r>
            <w:r>
              <w:rPr>
                <w:rFonts w:hint="eastAsia" w:ascii="仿宋_GB2312" w:hAnsi="仿宋_GB2312" w:eastAsia="仿宋_GB2312" w:cs="仿宋_GB2312"/>
              </w:rPr>
              <w:t>.竞租人为企业的，注册资金不得低于人民币</w:t>
            </w:r>
            <w:r>
              <w:rPr>
                <w:rFonts w:hint="eastAsia" w:ascii="仿宋_GB2312" w:hAnsi="仿宋_GB2312" w:eastAsia="仿宋_GB2312" w:cs="仿宋_GB2312"/>
                <w:lang w:val="en-US" w:eastAsia="zh-CN"/>
              </w:rPr>
              <w:t>100</w:t>
            </w:r>
            <w:r>
              <w:rPr>
                <w:rFonts w:hint="eastAsia" w:ascii="仿宋_GB2312" w:hAnsi="仿宋_GB2312" w:eastAsia="仿宋_GB2312" w:cs="仿宋_GB2312"/>
              </w:rPr>
              <w:t>万元；</w:t>
            </w:r>
          </w:p>
          <w:p w14:paraId="38F1F75D">
            <w:pPr>
              <w:rPr>
                <w:rFonts w:hint="eastAsia" w:ascii="仿宋_GB2312" w:hAnsi="仿宋_GB2312" w:eastAsia="仿宋_GB2312" w:cs="仿宋_GB2312"/>
              </w:rPr>
            </w:pPr>
            <w:r>
              <w:rPr>
                <w:rFonts w:hint="eastAsia" w:ascii="仿宋_GB2312" w:hAnsi="仿宋_GB2312" w:eastAsia="仿宋_GB2312" w:cs="仿宋_GB2312"/>
                <w:lang w:val="en-US" w:eastAsia="zh-CN"/>
              </w:rPr>
              <w:t>4</w:t>
            </w:r>
            <w:r>
              <w:rPr>
                <w:rFonts w:hint="eastAsia" w:ascii="仿宋_GB2312" w:hAnsi="仿宋_GB2312" w:eastAsia="仿宋_GB2312" w:cs="仿宋_GB2312"/>
              </w:rPr>
              <w:t>.</w:t>
            </w:r>
            <w:r>
              <w:rPr>
                <w:rFonts w:hint="eastAsia" w:ascii="仿宋_GB2312" w:hAnsi="仿宋_GB2312" w:eastAsia="仿宋_GB2312" w:cs="仿宋_GB2312"/>
                <w:lang w:val="en-US" w:eastAsia="zh-CN"/>
              </w:rPr>
              <w:t>竞租人经营品牌方式为加盟的，竞租人应于竞租前提供取得品牌经营的承诺书，承诺书内容应明确表示竞租人在收到成交确认书后的20个工作日内取得品牌方经营行业的经营许可证、服务许可证、授权经营协议、委托经营协议</w:t>
            </w:r>
            <w:r>
              <w:rPr>
                <w:rFonts w:hint="eastAsia" w:ascii="仿宋_GB2312" w:hAnsi="仿宋_GB2312" w:eastAsia="仿宋_GB2312" w:cs="仿宋_GB2312"/>
                <w:lang w:val="en-US" w:eastAsia="zh-Hans"/>
              </w:rPr>
              <w:t>或</w:t>
            </w:r>
            <w:r>
              <w:rPr>
                <w:rFonts w:hint="eastAsia" w:ascii="仿宋_GB2312" w:hAnsi="仿宋_GB2312" w:eastAsia="仿宋_GB2312" w:cs="仿宋_GB2312"/>
                <w:lang w:val="en-US" w:eastAsia="zh-CN"/>
              </w:rPr>
              <w:t>合作协议等，资质证书应有效合法。</w:t>
            </w:r>
          </w:p>
          <w:p w14:paraId="65D01676">
            <w:pPr>
              <w:rPr>
                <w:rFonts w:hint="eastAsia" w:ascii="仿宋_GB2312" w:hAnsi="仿宋_GB2312" w:eastAsia="仿宋_GB2312" w:cs="仿宋_GB2312"/>
                <w:lang w:eastAsia="zh-CN"/>
              </w:rPr>
            </w:pPr>
            <w:r>
              <w:rPr>
                <w:rFonts w:hint="eastAsia" w:ascii="仿宋_GB2312" w:hAnsi="仿宋_GB2312" w:eastAsia="仿宋_GB2312" w:cs="仿宋_GB2312"/>
                <w:lang w:val="en-US" w:eastAsia="zh-CN"/>
              </w:rPr>
              <w:t>5</w:t>
            </w:r>
            <w:r>
              <w:rPr>
                <w:rFonts w:hint="eastAsia" w:ascii="仿宋_GB2312" w:hAnsi="仿宋_GB2312" w:eastAsia="仿宋_GB2312" w:cs="仿宋_GB2312"/>
              </w:rPr>
              <w:t>.竞租</w:t>
            </w:r>
            <w:r>
              <w:rPr>
                <w:rFonts w:hint="eastAsia" w:ascii="仿宋_GB2312" w:hAnsi="仿宋_GB2312" w:eastAsia="仿宋_GB2312" w:cs="仿宋_GB2312"/>
                <w:lang w:val="en-US" w:eastAsia="zh-CN"/>
              </w:rPr>
              <w:t>人</w:t>
            </w:r>
            <w:r>
              <w:rPr>
                <w:rFonts w:hint="eastAsia" w:ascii="仿宋_GB2312" w:hAnsi="仿宋_GB2312" w:eastAsia="仿宋_GB2312" w:cs="仿宋_GB2312"/>
              </w:rPr>
              <w:t>不得被“信用中国”网站中列入失信被执行人和重大税收违法案件当事人名单，不得为中国政府采购网（www.ccgp.gov.cn）政府采购严重违法失信行为记录名单中被财政部门禁止参加政府采购活动的供应商。</w:t>
            </w:r>
          </w:p>
          <w:p w14:paraId="433D5676">
            <w:pPr>
              <w:rPr>
                <w:rFonts w:hint="eastAsia" w:ascii="仿宋_GB2312" w:hAnsi="仿宋_GB2312" w:eastAsia="仿宋_GB2312" w:cs="仿宋_GB2312"/>
                <w:lang w:val="en-US" w:eastAsia="zh-CN"/>
              </w:rPr>
            </w:pPr>
            <w:r>
              <w:rPr>
                <w:rFonts w:hint="eastAsia" w:ascii="仿宋_GB2312" w:hAnsi="仿宋_GB2312" w:eastAsia="仿宋_GB2312" w:cs="仿宋_GB2312"/>
                <w:lang w:val="en-US" w:eastAsia="zh-CN"/>
              </w:rPr>
              <w:t>6</w:t>
            </w:r>
            <w:r>
              <w:rPr>
                <w:rFonts w:hint="eastAsia" w:ascii="仿宋_GB2312" w:hAnsi="仿宋_GB2312" w:eastAsia="仿宋_GB2312" w:cs="仿宋_GB2312"/>
              </w:rPr>
              <w:t>.最近1年内未因自身原因而导致合同解除或招致法律诉讼，在经营活动中没有重大违法违规记录，未受到行政处罚。竞租人应出具承诺书（加盖公章）。</w:t>
            </w:r>
          </w:p>
          <w:p w14:paraId="01AD9973">
            <w:pPr>
              <w:rPr>
                <w:rFonts w:hint="eastAsia" w:ascii="仿宋_GB2312" w:hAnsi="仿宋_GB2312" w:eastAsia="仿宋_GB2312" w:cs="仿宋_GB2312"/>
              </w:rPr>
            </w:pPr>
          </w:p>
        </w:tc>
        <w:tc>
          <w:tcPr>
            <w:tcW w:w="964" w:type="dxa"/>
            <w:tcBorders>
              <w:top w:val="nil"/>
              <w:left w:val="single" w:color="auto" w:sz="4" w:space="0"/>
              <w:bottom w:val="single" w:color="000000" w:sz="8" w:space="0"/>
              <w:right w:val="single" w:color="auto" w:sz="8" w:space="0"/>
            </w:tcBorders>
            <w:shd w:val="clear" w:color="auto" w:fill="auto"/>
            <w:vAlign w:val="center"/>
          </w:tcPr>
          <w:p w14:paraId="2CA5E84F">
            <w:pPr>
              <w:keepNext w:val="0"/>
              <w:keepLines w:val="0"/>
              <w:pageBreakBefore w:val="0"/>
              <w:widowControl/>
              <w:kinsoku/>
              <w:wordWrap/>
              <w:overflowPunct/>
              <w:topLinePunct w:val="0"/>
              <w:autoSpaceDE/>
              <w:autoSpaceDN/>
              <w:bidi w:val="0"/>
              <w:adjustRightInd/>
              <w:snapToGrid/>
              <w:spacing w:line="360" w:lineRule="exact"/>
              <w:jc w:val="left"/>
              <w:textAlignment w:val="auto"/>
              <w:rPr>
                <w:rFonts w:hint="eastAsia"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共4组，每台机器占地面积不大于4平方米</w:t>
            </w:r>
          </w:p>
        </w:tc>
        <w:tc>
          <w:tcPr>
            <w:tcW w:w="1255" w:type="dxa"/>
            <w:tcBorders>
              <w:top w:val="nil"/>
              <w:left w:val="single" w:color="auto" w:sz="8" w:space="0"/>
              <w:bottom w:val="single" w:color="000000" w:sz="8" w:space="0"/>
              <w:right w:val="single" w:color="auto" w:sz="8" w:space="0"/>
            </w:tcBorders>
            <w:shd w:val="clear" w:color="auto" w:fill="auto"/>
            <w:vAlign w:val="center"/>
          </w:tcPr>
          <w:p w14:paraId="419C066B">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4000</w:t>
            </w:r>
          </w:p>
        </w:tc>
        <w:tc>
          <w:tcPr>
            <w:tcW w:w="838" w:type="dxa"/>
            <w:tcBorders>
              <w:top w:val="nil"/>
              <w:left w:val="single" w:color="auto" w:sz="8" w:space="0"/>
              <w:bottom w:val="single" w:color="000000" w:sz="8" w:space="0"/>
              <w:right w:val="single" w:color="auto" w:sz="8" w:space="0"/>
            </w:tcBorders>
            <w:shd w:val="clear" w:color="auto" w:fill="auto"/>
            <w:vAlign w:val="center"/>
          </w:tcPr>
          <w:p w14:paraId="159913E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default" w:ascii="仿宋_GB2312" w:hAnsi="仿宋_GB2312" w:eastAsia="仿宋_GB2312" w:cs="仿宋_GB2312"/>
                <w:color w:val="000000"/>
                <w:kern w:val="0"/>
                <w:szCs w:val="21"/>
                <w:lang w:val="en-US" w:eastAsia="zh-CN"/>
              </w:rPr>
            </w:pPr>
            <w:r>
              <w:rPr>
                <w:rFonts w:hint="eastAsia" w:ascii="仿宋_GB2312" w:hAnsi="仿宋_GB2312" w:eastAsia="仿宋_GB2312" w:cs="仿宋_GB2312"/>
                <w:color w:val="000000"/>
                <w:kern w:val="0"/>
                <w:szCs w:val="21"/>
                <w:lang w:val="en-US" w:eastAsia="zh-CN"/>
              </w:rPr>
              <w:t>4000</w:t>
            </w:r>
          </w:p>
        </w:tc>
        <w:tc>
          <w:tcPr>
            <w:tcW w:w="491" w:type="dxa"/>
            <w:tcBorders>
              <w:top w:val="nil"/>
              <w:left w:val="single" w:color="auto" w:sz="8" w:space="0"/>
              <w:bottom w:val="single" w:color="000000" w:sz="8" w:space="0"/>
              <w:right w:val="single" w:color="auto" w:sz="8" w:space="0"/>
            </w:tcBorders>
            <w:shd w:val="clear" w:color="auto" w:fill="auto"/>
            <w:noWrap/>
            <w:vAlign w:val="center"/>
          </w:tcPr>
          <w:p w14:paraId="44416B66">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lang w:val="en-US" w:eastAsia="zh-CN"/>
              </w:rPr>
              <w:t>3</w:t>
            </w:r>
            <w:r>
              <w:rPr>
                <w:rFonts w:hint="eastAsia" w:ascii="仿宋_GB2312" w:hAnsi="仿宋_GB2312" w:eastAsia="仿宋_GB2312" w:cs="仿宋_GB2312"/>
                <w:color w:val="000000"/>
                <w:kern w:val="0"/>
                <w:szCs w:val="21"/>
              </w:rPr>
              <w:t>年</w:t>
            </w:r>
          </w:p>
          <w:p w14:paraId="09CE3814">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Cs w:val="21"/>
              </w:rPr>
            </w:pPr>
          </w:p>
        </w:tc>
        <w:tc>
          <w:tcPr>
            <w:tcW w:w="384" w:type="dxa"/>
            <w:tcBorders>
              <w:top w:val="nil"/>
              <w:left w:val="single" w:color="auto" w:sz="8" w:space="0"/>
              <w:bottom w:val="single" w:color="000000" w:sz="8" w:space="0"/>
              <w:right w:val="single" w:color="auto" w:sz="8" w:space="0"/>
            </w:tcBorders>
            <w:shd w:val="clear" w:color="auto" w:fill="auto"/>
            <w:noWrap/>
            <w:vAlign w:val="center"/>
          </w:tcPr>
          <w:p w14:paraId="7A6A203F">
            <w:pPr>
              <w:keepNext w:val="0"/>
              <w:keepLines w:val="0"/>
              <w:pageBreakBefore w:val="0"/>
              <w:widowControl/>
              <w:kinsoku/>
              <w:wordWrap/>
              <w:overflowPunct/>
              <w:topLinePunct w:val="0"/>
              <w:autoSpaceDE/>
              <w:autoSpaceDN/>
              <w:bidi w:val="0"/>
              <w:adjustRightInd/>
              <w:snapToGrid/>
              <w:spacing w:line="360" w:lineRule="exact"/>
              <w:jc w:val="both"/>
              <w:textAlignment w:val="auto"/>
              <w:rPr>
                <w:rFonts w:hint="eastAsia" w:ascii="仿宋_GB2312" w:hAnsi="仿宋_GB2312" w:eastAsia="仿宋_GB2312" w:cs="仿宋_GB2312"/>
                <w:color w:val="000000"/>
                <w:kern w:val="0"/>
                <w:szCs w:val="21"/>
              </w:rPr>
            </w:pPr>
            <w:r>
              <w:rPr>
                <w:rFonts w:hint="eastAsia" w:ascii="仿宋_GB2312" w:hAnsi="仿宋_GB2312" w:eastAsia="仿宋_GB2312" w:cs="仿宋_GB2312"/>
                <w:color w:val="000000"/>
                <w:kern w:val="0"/>
                <w:szCs w:val="21"/>
              </w:rPr>
              <w:t>一季度租金总额　</w:t>
            </w:r>
          </w:p>
        </w:tc>
        <w:tc>
          <w:tcPr>
            <w:tcW w:w="412" w:type="dxa"/>
            <w:tcBorders>
              <w:top w:val="nil"/>
              <w:left w:val="single" w:color="auto" w:sz="8" w:space="0"/>
              <w:bottom w:val="single" w:color="000000" w:sz="8" w:space="0"/>
              <w:right w:val="single" w:color="auto" w:sz="8" w:space="0"/>
            </w:tcBorders>
            <w:shd w:val="clear" w:color="auto" w:fill="auto"/>
            <w:noWrap/>
            <w:vAlign w:val="center"/>
          </w:tcPr>
          <w:p w14:paraId="2F836D3C">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仿宋_GB2312" w:hAnsi="仿宋_GB2312" w:eastAsia="仿宋_GB2312" w:cs="仿宋_GB2312"/>
                <w:color w:val="000000"/>
                <w:kern w:val="0"/>
                <w:szCs w:val="21"/>
              </w:rPr>
            </w:pPr>
          </w:p>
        </w:tc>
      </w:tr>
      <w:bookmarkEnd w:id="0"/>
    </w:tbl>
    <w:p w14:paraId="53C86E93">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kern w:val="0"/>
          <w:sz w:val="24"/>
          <w:szCs w:val="24"/>
        </w:rPr>
      </w:pPr>
      <w:bookmarkStart w:id="1" w:name="_Hlk84671680"/>
    </w:p>
    <w:p w14:paraId="3FE41BAF">
      <w:pPr>
        <w:keepNext w:val="0"/>
        <w:keepLines w:val="0"/>
        <w:pageBreakBefore w:val="0"/>
        <w:widowControl/>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b/>
          <w:kern w:val="0"/>
          <w:sz w:val="24"/>
          <w:szCs w:val="24"/>
        </w:rPr>
      </w:pPr>
      <w:r>
        <w:rPr>
          <w:rFonts w:hint="eastAsia" w:ascii="仿宋_GB2312" w:hAnsi="仿宋_GB2312" w:eastAsia="仿宋_GB2312" w:cs="仿宋_GB2312"/>
          <w:b/>
          <w:kern w:val="0"/>
          <w:sz w:val="24"/>
          <w:szCs w:val="24"/>
        </w:rPr>
        <w:t>二、房屋平面示意图</w:t>
      </w:r>
    </w:p>
    <w:p w14:paraId="7043A8A6">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szCs w:val="24"/>
          <w:highlight w:val="none"/>
          <w:u w:val="none"/>
          <w:lang w:val="en-US" w:eastAsia="zh-CN"/>
        </w:rPr>
      </w:pPr>
      <w:r>
        <w:rPr>
          <w:rFonts w:hint="eastAsia" w:ascii="仿宋_GB2312" w:hAnsi="仿宋_GB2312" w:eastAsia="仿宋_GB2312" w:cs="仿宋_GB2312"/>
          <w:sz w:val="24"/>
          <w:szCs w:val="24"/>
          <w:highlight w:val="none"/>
          <w:u w:val="none"/>
          <w:lang w:val="en-US" w:eastAsia="zh-CN"/>
        </w:rPr>
        <w:t>（1）厦门市湖里区火炬路319-1号B区一层西侧快递房及厦门市湖里区火炬路319-1号C\D区一层连廊</w:t>
      </w:r>
    </w:p>
    <w:bookmarkEnd w:id="1"/>
    <w:p w14:paraId="30C1AF37">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5265420" cy="3485515"/>
            <wp:effectExtent l="0" t="0" r="11430" b="635"/>
            <wp:docPr id="10" name="图片 10" descr="1号楼1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1号楼1层"/>
                    <pic:cNvPicPr>
                      <a:picLocks noChangeAspect="1"/>
                    </pic:cNvPicPr>
                  </pic:nvPicPr>
                  <pic:blipFill>
                    <a:blip r:embed="rId4"/>
                    <a:stretch>
                      <a:fillRect/>
                    </a:stretch>
                  </pic:blipFill>
                  <pic:spPr>
                    <a:xfrm>
                      <a:off x="0" y="0"/>
                      <a:ext cx="5265420" cy="3485515"/>
                    </a:xfrm>
                    <a:prstGeom prst="rect">
                      <a:avLst/>
                    </a:prstGeom>
                  </pic:spPr>
                </pic:pic>
              </a:graphicData>
            </a:graphic>
          </wp:inline>
        </w:drawing>
      </w:r>
    </w:p>
    <w:p w14:paraId="7F27A211">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u w:val="none"/>
          <w:lang w:val="en-US" w:eastAsia="zh-CN"/>
        </w:rPr>
        <w:t>（2）厦门市湖里区火炬路319-2号一层东侧架空层</w:t>
      </w:r>
    </w:p>
    <w:p w14:paraId="00E2CBF3">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5267325" cy="1407795"/>
            <wp:effectExtent l="0" t="0" r="9525" b="1905"/>
            <wp:docPr id="8" name="图片 8" descr="2号楼1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号楼1层"/>
                    <pic:cNvPicPr>
                      <a:picLocks noChangeAspect="1"/>
                    </pic:cNvPicPr>
                  </pic:nvPicPr>
                  <pic:blipFill>
                    <a:blip r:embed="rId5"/>
                    <a:stretch>
                      <a:fillRect/>
                    </a:stretch>
                  </pic:blipFill>
                  <pic:spPr>
                    <a:xfrm>
                      <a:off x="0" y="0"/>
                      <a:ext cx="5267325" cy="1407795"/>
                    </a:xfrm>
                    <a:prstGeom prst="rect">
                      <a:avLst/>
                    </a:prstGeom>
                  </pic:spPr>
                </pic:pic>
              </a:graphicData>
            </a:graphic>
          </wp:inline>
        </w:drawing>
      </w:r>
    </w:p>
    <w:p w14:paraId="73541A99">
      <w:pPr>
        <w:rPr>
          <w:rFonts w:hint="eastAsia" w:ascii="仿宋_GB2312" w:hAnsi="仿宋_GB2312" w:eastAsia="仿宋_GB2312" w:cs="仿宋_GB2312"/>
          <w:sz w:val="24"/>
          <w:szCs w:val="24"/>
          <w:highlight w:val="none"/>
          <w:lang w:eastAsia="zh-CN"/>
        </w:rPr>
      </w:pPr>
      <w:r>
        <w:rPr>
          <w:rFonts w:hint="eastAsia" w:ascii="仿宋_GB2312" w:hAnsi="仿宋_GB2312" w:eastAsia="仿宋_GB2312" w:cs="仿宋_GB2312"/>
          <w:sz w:val="24"/>
          <w:szCs w:val="24"/>
          <w:highlight w:val="none"/>
          <w:u w:val="none"/>
          <w:lang w:val="en-US" w:eastAsia="zh-CN"/>
        </w:rPr>
        <w:t>（3）厦门市湖里区火炬路319号一层西北侧架空层</w:t>
      </w:r>
    </w:p>
    <w:p w14:paraId="4286E50A">
      <w:pPr>
        <w:rPr>
          <w:rFonts w:hint="eastAsia" w:ascii="仿宋_GB2312" w:hAnsi="仿宋_GB2312" w:eastAsia="仿宋_GB2312" w:cs="仿宋_GB2312"/>
          <w:sz w:val="24"/>
          <w:szCs w:val="24"/>
          <w:lang w:eastAsia="zh-CN"/>
        </w:rPr>
      </w:pPr>
      <w:r>
        <w:rPr>
          <w:rFonts w:hint="eastAsia" w:ascii="仿宋_GB2312" w:hAnsi="仿宋_GB2312" w:eastAsia="仿宋_GB2312" w:cs="仿宋_GB2312"/>
          <w:sz w:val="24"/>
          <w:szCs w:val="24"/>
          <w:lang w:eastAsia="zh-CN"/>
        </w:rPr>
        <w:drawing>
          <wp:inline distT="0" distB="0" distL="114300" distR="114300">
            <wp:extent cx="5270500" cy="1454785"/>
            <wp:effectExtent l="0" t="0" r="6350" b="12065"/>
            <wp:docPr id="7" name="图片 7" descr="3号楼1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3号楼1层"/>
                    <pic:cNvPicPr>
                      <a:picLocks noChangeAspect="1"/>
                    </pic:cNvPicPr>
                  </pic:nvPicPr>
                  <pic:blipFill>
                    <a:blip r:embed="rId6"/>
                    <a:stretch>
                      <a:fillRect/>
                    </a:stretch>
                  </pic:blipFill>
                  <pic:spPr>
                    <a:xfrm>
                      <a:off x="0" y="0"/>
                      <a:ext cx="5270500" cy="145478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CC"/>
    <w:family w:val="roman"/>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Calibri Light">
    <w:altName w:val="DejaVu Sans"/>
    <w:panose1 w:val="020F0302020204030204"/>
    <w:charset w:val="00"/>
    <w:family w:val="swiss"/>
    <w:pitch w:val="default"/>
    <w:sig w:usb0="00000000" w:usb1="00000000" w:usb2="00000009" w:usb3="00000000" w:csb0="200001FF"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QwN2FiZTIwNmMxM2U0OTFmYzdlMzI4Zjg2NWJhYzIifQ=="/>
  </w:docVars>
  <w:rsids>
    <w:rsidRoot w:val="00943145"/>
    <w:rsid w:val="00016AE1"/>
    <w:rsid w:val="00021AA6"/>
    <w:rsid w:val="001078E6"/>
    <w:rsid w:val="00117308"/>
    <w:rsid w:val="0012518D"/>
    <w:rsid w:val="00142ED3"/>
    <w:rsid w:val="00152B71"/>
    <w:rsid w:val="00155524"/>
    <w:rsid w:val="001704CD"/>
    <w:rsid w:val="00192B64"/>
    <w:rsid w:val="001B0EFE"/>
    <w:rsid w:val="001B6F48"/>
    <w:rsid w:val="001D0063"/>
    <w:rsid w:val="001E2DFC"/>
    <w:rsid w:val="001E34A0"/>
    <w:rsid w:val="001F0D51"/>
    <w:rsid w:val="001F160C"/>
    <w:rsid w:val="0020143C"/>
    <w:rsid w:val="00212F32"/>
    <w:rsid w:val="00225C66"/>
    <w:rsid w:val="00233215"/>
    <w:rsid w:val="00237A51"/>
    <w:rsid w:val="002421DB"/>
    <w:rsid w:val="00246DBA"/>
    <w:rsid w:val="00260979"/>
    <w:rsid w:val="002618B9"/>
    <w:rsid w:val="00263C95"/>
    <w:rsid w:val="00271DFA"/>
    <w:rsid w:val="0027499D"/>
    <w:rsid w:val="0029118F"/>
    <w:rsid w:val="002B2FC8"/>
    <w:rsid w:val="002D445F"/>
    <w:rsid w:val="002E74B5"/>
    <w:rsid w:val="003154F6"/>
    <w:rsid w:val="00330443"/>
    <w:rsid w:val="00377032"/>
    <w:rsid w:val="003858A6"/>
    <w:rsid w:val="00390073"/>
    <w:rsid w:val="003907A3"/>
    <w:rsid w:val="003B5081"/>
    <w:rsid w:val="003C1163"/>
    <w:rsid w:val="003E20DD"/>
    <w:rsid w:val="00404237"/>
    <w:rsid w:val="00404D5C"/>
    <w:rsid w:val="0041483A"/>
    <w:rsid w:val="00423C6E"/>
    <w:rsid w:val="00424E4B"/>
    <w:rsid w:val="00425B6B"/>
    <w:rsid w:val="00431CFB"/>
    <w:rsid w:val="00436577"/>
    <w:rsid w:val="00436A0C"/>
    <w:rsid w:val="00457261"/>
    <w:rsid w:val="00484B11"/>
    <w:rsid w:val="00487D3E"/>
    <w:rsid w:val="004913EA"/>
    <w:rsid w:val="004945FC"/>
    <w:rsid w:val="004B53E7"/>
    <w:rsid w:val="004B55C4"/>
    <w:rsid w:val="00510142"/>
    <w:rsid w:val="00513872"/>
    <w:rsid w:val="005210C4"/>
    <w:rsid w:val="0053774F"/>
    <w:rsid w:val="00574218"/>
    <w:rsid w:val="00584755"/>
    <w:rsid w:val="005871A9"/>
    <w:rsid w:val="005E567E"/>
    <w:rsid w:val="006339B0"/>
    <w:rsid w:val="006A34E8"/>
    <w:rsid w:val="006C77EE"/>
    <w:rsid w:val="006E5AB2"/>
    <w:rsid w:val="006F5B21"/>
    <w:rsid w:val="00727334"/>
    <w:rsid w:val="00735EA7"/>
    <w:rsid w:val="007739A6"/>
    <w:rsid w:val="0077534C"/>
    <w:rsid w:val="007769C3"/>
    <w:rsid w:val="00777D08"/>
    <w:rsid w:val="00791196"/>
    <w:rsid w:val="007A5E22"/>
    <w:rsid w:val="007B6FC8"/>
    <w:rsid w:val="007C202D"/>
    <w:rsid w:val="00802944"/>
    <w:rsid w:val="008055DD"/>
    <w:rsid w:val="00825606"/>
    <w:rsid w:val="008306E6"/>
    <w:rsid w:val="00860A66"/>
    <w:rsid w:val="00872D9F"/>
    <w:rsid w:val="0087421A"/>
    <w:rsid w:val="008B45CD"/>
    <w:rsid w:val="008E2C8C"/>
    <w:rsid w:val="009068D8"/>
    <w:rsid w:val="00911094"/>
    <w:rsid w:val="00923590"/>
    <w:rsid w:val="00937885"/>
    <w:rsid w:val="00943145"/>
    <w:rsid w:val="009469B5"/>
    <w:rsid w:val="0095666C"/>
    <w:rsid w:val="00977836"/>
    <w:rsid w:val="00992BA2"/>
    <w:rsid w:val="009A5AEA"/>
    <w:rsid w:val="009A6D97"/>
    <w:rsid w:val="009B0E2F"/>
    <w:rsid w:val="009B62F9"/>
    <w:rsid w:val="009C66F2"/>
    <w:rsid w:val="009E5D9B"/>
    <w:rsid w:val="00A00543"/>
    <w:rsid w:val="00A033F1"/>
    <w:rsid w:val="00A24EA5"/>
    <w:rsid w:val="00A34D35"/>
    <w:rsid w:val="00A4697D"/>
    <w:rsid w:val="00A50889"/>
    <w:rsid w:val="00A51664"/>
    <w:rsid w:val="00A64886"/>
    <w:rsid w:val="00AC321C"/>
    <w:rsid w:val="00AD4597"/>
    <w:rsid w:val="00AE1E1F"/>
    <w:rsid w:val="00AF1739"/>
    <w:rsid w:val="00B04AFC"/>
    <w:rsid w:val="00B32F60"/>
    <w:rsid w:val="00B3441E"/>
    <w:rsid w:val="00B750FA"/>
    <w:rsid w:val="00B7514A"/>
    <w:rsid w:val="00B827EF"/>
    <w:rsid w:val="00BD18E7"/>
    <w:rsid w:val="00BE0A31"/>
    <w:rsid w:val="00BE7EBD"/>
    <w:rsid w:val="00C2144D"/>
    <w:rsid w:val="00C26522"/>
    <w:rsid w:val="00C52109"/>
    <w:rsid w:val="00C55114"/>
    <w:rsid w:val="00C83477"/>
    <w:rsid w:val="00C86119"/>
    <w:rsid w:val="00CA1E1C"/>
    <w:rsid w:val="00CB0C44"/>
    <w:rsid w:val="00CC18CD"/>
    <w:rsid w:val="00CD6DF2"/>
    <w:rsid w:val="00CF48EE"/>
    <w:rsid w:val="00D258EE"/>
    <w:rsid w:val="00D7096B"/>
    <w:rsid w:val="00D774D4"/>
    <w:rsid w:val="00D8166C"/>
    <w:rsid w:val="00D83F9C"/>
    <w:rsid w:val="00D86D56"/>
    <w:rsid w:val="00DC0A0E"/>
    <w:rsid w:val="00DC23C6"/>
    <w:rsid w:val="00DD201A"/>
    <w:rsid w:val="00DE4477"/>
    <w:rsid w:val="00DF7F98"/>
    <w:rsid w:val="00E21268"/>
    <w:rsid w:val="00E22616"/>
    <w:rsid w:val="00E4436C"/>
    <w:rsid w:val="00E540FC"/>
    <w:rsid w:val="00E54461"/>
    <w:rsid w:val="00E57BC2"/>
    <w:rsid w:val="00E93724"/>
    <w:rsid w:val="00E937C4"/>
    <w:rsid w:val="00ED7B86"/>
    <w:rsid w:val="00F02FBF"/>
    <w:rsid w:val="00F07BB3"/>
    <w:rsid w:val="00F20984"/>
    <w:rsid w:val="00F47A1E"/>
    <w:rsid w:val="00F51853"/>
    <w:rsid w:val="00F7147C"/>
    <w:rsid w:val="00F71990"/>
    <w:rsid w:val="00F72768"/>
    <w:rsid w:val="00F75693"/>
    <w:rsid w:val="00FE7E63"/>
    <w:rsid w:val="0E074031"/>
    <w:rsid w:val="0F9F2ACC"/>
    <w:rsid w:val="194C318E"/>
    <w:rsid w:val="2F6E07A9"/>
    <w:rsid w:val="437E57E1"/>
    <w:rsid w:val="54297BF9"/>
    <w:rsid w:val="6B9E49BC"/>
    <w:rsid w:val="6F617B58"/>
    <w:rsid w:val="77FD6E42"/>
    <w:rsid w:val="7DFCFF29"/>
    <w:rsid w:val="7FBF1454"/>
    <w:rsid w:val="7FBF2836"/>
    <w:rsid w:val="7FFB01BC"/>
    <w:rsid w:val="9FEEC8B7"/>
    <w:rsid w:val="B1FD96AC"/>
    <w:rsid w:val="FD4FE279"/>
    <w:rsid w:val="FFFE0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3"/>
    <w:qFormat/>
    <w:uiPriority w:val="9"/>
    <w:pPr>
      <w:keepNext/>
      <w:keepLines/>
      <w:spacing w:before="340" w:after="330" w:line="578" w:lineRule="auto"/>
      <w:outlineLvl w:val="0"/>
    </w:pPr>
    <w:rPr>
      <w:rFonts w:ascii="Times New Roman" w:hAnsi="Times New Roman" w:cstheme="minorBidi"/>
      <w:b/>
      <w:bCs/>
      <w:kern w:val="44"/>
      <w:sz w:val="44"/>
      <w:szCs w:val="44"/>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2"/>
    <w:qFormat/>
    <w:uiPriority w:val="0"/>
    <w:pPr>
      <w:widowControl w:val="0"/>
      <w:spacing w:after="120" w:line="480" w:lineRule="auto"/>
      <w:ind w:firstLine="682" w:firstLineChars="200"/>
      <w:jc w:val="both"/>
    </w:pPr>
    <w:rPr>
      <w:rFonts w:ascii="Times New Roman" w:hAnsi="Times New Roman" w:eastAsia="仿宋_GB2312" w:cs="Times New Roman"/>
      <w:kern w:val="2"/>
      <w:sz w:val="32"/>
      <w:szCs w:val="24"/>
      <w:lang w:val="en-US" w:eastAsia="zh-CN" w:bidi="ar-SA"/>
    </w:rPr>
  </w:style>
  <w:style w:type="paragraph" w:styleId="4">
    <w:name w:val="caption"/>
    <w:basedOn w:val="1"/>
    <w:next w:val="1"/>
    <w:unhideWhenUsed/>
    <w:qFormat/>
    <w:uiPriority w:val="35"/>
    <w:rPr>
      <w:rFonts w:eastAsia="黑体" w:asciiTheme="majorHAnsi" w:hAnsiTheme="majorHAnsi" w:cstheme="majorBidi"/>
      <w:sz w:val="20"/>
      <w:szCs w:val="20"/>
    </w:rPr>
  </w:style>
  <w:style w:type="paragraph" w:styleId="5">
    <w:name w:val="Date"/>
    <w:basedOn w:val="1"/>
    <w:next w:val="1"/>
    <w:link w:val="17"/>
    <w:semiHidden/>
    <w:unhideWhenUsed/>
    <w:qFormat/>
    <w:uiPriority w:val="99"/>
    <w:pPr>
      <w:spacing w:line="360" w:lineRule="auto"/>
      <w:ind w:left="100" w:leftChars="2500"/>
    </w:pPr>
    <w:rPr>
      <w:rFonts w:asciiTheme="minorHAnsi" w:hAnsiTheme="minorHAnsi" w:eastAsiaTheme="minorEastAsia"/>
    </w:rPr>
  </w:style>
  <w:style w:type="paragraph" w:styleId="6">
    <w:name w:val="Balloon Text"/>
    <w:basedOn w:val="1"/>
    <w:link w:val="16"/>
    <w:semiHidden/>
    <w:unhideWhenUsed/>
    <w:qFormat/>
    <w:uiPriority w:val="99"/>
    <w:pPr>
      <w:spacing w:line="360" w:lineRule="auto"/>
    </w:pPr>
    <w:rPr>
      <w:rFonts w:asciiTheme="minorHAnsi" w:hAnsiTheme="minorHAnsi" w:eastAsiaTheme="minorEastAsia"/>
      <w:sz w:val="18"/>
      <w:szCs w:val="18"/>
    </w:rPr>
  </w:style>
  <w:style w:type="paragraph" w:styleId="7">
    <w:name w:val="footer"/>
    <w:basedOn w:val="1"/>
    <w:link w:val="15"/>
    <w:unhideWhenUsed/>
    <w:qFormat/>
    <w:uiPriority w:val="99"/>
    <w:pPr>
      <w:tabs>
        <w:tab w:val="center" w:pos="4153"/>
        <w:tab w:val="right" w:pos="8306"/>
      </w:tabs>
      <w:snapToGrid w:val="0"/>
      <w:jc w:val="left"/>
    </w:pPr>
    <w:rPr>
      <w:rFonts w:ascii="Times New Roman" w:hAnsi="Times New Roman" w:cstheme="minorBidi"/>
      <w:sz w:val="18"/>
      <w:szCs w:val="18"/>
    </w:rPr>
  </w:style>
  <w:style w:type="paragraph" w:styleId="8">
    <w:name w:val="header"/>
    <w:basedOn w:val="1"/>
    <w:link w:val="14"/>
    <w:unhideWhenUsed/>
    <w:qFormat/>
    <w:uiPriority w:val="99"/>
    <w:pPr>
      <w:pBdr>
        <w:bottom w:val="single" w:color="auto" w:sz="6" w:space="1"/>
      </w:pBdr>
      <w:tabs>
        <w:tab w:val="center" w:pos="4153"/>
        <w:tab w:val="right" w:pos="8306"/>
      </w:tabs>
      <w:snapToGrid w:val="0"/>
      <w:jc w:val="center"/>
    </w:pPr>
    <w:rPr>
      <w:rFonts w:ascii="Times New Roman" w:hAnsi="Times New Roman" w:cstheme="minorBidi"/>
      <w:sz w:val="18"/>
      <w:szCs w:val="18"/>
    </w:rPr>
  </w:style>
  <w:style w:type="paragraph" w:styleId="9">
    <w:name w:val="Normal (Web)"/>
    <w:basedOn w:val="1"/>
    <w:semiHidden/>
    <w:unhideWhenUsed/>
    <w:qFormat/>
    <w:uiPriority w:val="99"/>
    <w:pPr>
      <w:widowControl/>
      <w:spacing w:line="360" w:lineRule="auto"/>
      <w:jc w:val="left"/>
    </w:pPr>
    <w:rPr>
      <w:rFonts w:ascii="宋体" w:hAnsi="宋体" w:cs="宋体"/>
      <w:kern w:val="0"/>
      <w:sz w:val="24"/>
    </w:rPr>
  </w:style>
  <w:style w:type="table" w:styleId="11">
    <w:name w:val="Table Grid"/>
    <w:basedOn w:val="10"/>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character" w:customStyle="1" w:styleId="13">
    <w:name w:val="标题 1 字符"/>
    <w:basedOn w:val="12"/>
    <w:link w:val="3"/>
    <w:qFormat/>
    <w:uiPriority w:val="9"/>
    <w:rPr>
      <w:rFonts w:ascii="Times New Roman" w:hAnsi="Times New Roman" w:eastAsia="宋体"/>
      <w:b/>
      <w:bCs/>
      <w:kern w:val="44"/>
      <w:sz w:val="44"/>
      <w:szCs w:val="44"/>
    </w:rPr>
  </w:style>
  <w:style w:type="character" w:customStyle="1" w:styleId="14">
    <w:name w:val="页眉 字符"/>
    <w:basedOn w:val="12"/>
    <w:link w:val="8"/>
    <w:qFormat/>
    <w:uiPriority w:val="99"/>
    <w:rPr>
      <w:rFonts w:ascii="Times New Roman" w:hAnsi="Times New Roman" w:eastAsia="宋体"/>
      <w:sz w:val="18"/>
      <w:szCs w:val="18"/>
    </w:rPr>
  </w:style>
  <w:style w:type="character" w:customStyle="1" w:styleId="15">
    <w:name w:val="页脚 字符"/>
    <w:basedOn w:val="12"/>
    <w:link w:val="7"/>
    <w:qFormat/>
    <w:uiPriority w:val="99"/>
    <w:rPr>
      <w:rFonts w:ascii="Times New Roman" w:hAnsi="Times New Roman" w:eastAsia="宋体"/>
      <w:sz w:val="18"/>
      <w:szCs w:val="18"/>
    </w:rPr>
  </w:style>
  <w:style w:type="character" w:customStyle="1" w:styleId="16">
    <w:name w:val="批注框文本 字符"/>
    <w:basedOn w:val="12"/>
    <w:link w:val="6"/>
    <w:semiHidden/>
    <w:qFormat/>
    <w:uiPriority w:val="99"/>
    <w:rPr>
      <w:sz w:val="18"/>
      <w:szCs w:val="18"/>
    </w:rPr>
  </w:style>
  <w:style w:type="character" w:customStyle="1" w:styleId="17">
    <w:name w:val="日期 字符"/>
    <w:basedOn w:val="12"/>
    <w:link w:val="5"/>
    <w:semiHidden/>
    <w:qFormat/>
    <w:uiPriority w:val="99"/>
  </w:style>
  <w:style w:type="paragraph" w:styleId="18">
    <w:name w:val="List Paragraph"/>
    <w:basedOn w:val="1"/>
    <w:qFormat/>
    <w:uiPriority w:val="34"/>
    <w:pPr>
      <w:spacing w:line="360" w:lineRule="auto"/>
      <w:ind w:firstLine="420" w:firstLineChars="200"/>
    </w:pPr>
    <w:rPr>
      <w:rFonts w:asciiTheme="minorHAnsi" w:hAnsiTheme="minorHAnsi" w:eastAsiaTheme="minorEastAsia" w:cstheme="minorBidi"/>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122</Words>
  <Characters>700</Characters>
  <Lines>5</Lines>
  <Paragraphs>1</Paragraphs>
  <TotalTime>1</TotalTime>
  <ScaleCrop>false</ScaleCrop>
  <LinksUpToDate>false</LinksUpToDate>
  <CharactersWithSpaces>821</CharactersWithSpaces>
  <Application>WPS Office_12.8.2.1114_F1E327BC-269C-435d-A152-05C5408002CA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2021-10-11T01:04:00Z</dcterms:created>
  <dc:creator>jhchen</dc:creator>
  <cp:lastModifiedBy>(๑´ㅂ`๑)</cp:lastModifiedBy>
  <dcterms:modified xsi:type="dcterms:W3CDTF">2026-08-19T15:56:50Z</dcterms:modified>
  <cp:revision>32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2052-12.8.2.1114</vt:lpwstr>
  </property>
  <property fmtid="{D5CDD505-2E9C-101B-9397-08002B2CF9AE}" pid="3" name="ICV">
    <vt:lpwstr>482F5855266881B5C016606A5AD1245D_43</vt:lpwstr>
  </property>
</Properties>
</file>