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cs="黑体"/>
          <w:b/>
          <w:bCs/>
          <w:spacing w:val="2"/>
          <w:w w:val="99"/>
          <w:sz w:val="32"/>
          <w:szCs w:val="32"/>
          <w:lang w:eastAsia="zh-CN"/>
        </w:rPr>
      </w:pPr>
      <w:r>
        <w:rPr>
          <w:rFonts w:hint="eastAsia" w:ascii="宋体" w:hAnsi="宋体" w:cs="黑体"/>
          <w:b/>
          <w:bCs/>
          <w:spacing w:val="2"/>
          <w:w w:val="99"/>
          <w:sz w:val="32"/>
          <w:szCs w:val="32"/>
          <w:lang w:eastAsia="zh-CN"/>
        </w:rPr>
        <w:t>厦门火炬</w:t>
      </w:r>
      <w:r>
        <w:rPr>
          <w:rFonts w:hint="eastAsia" w:ascii="宋体" w:hAnsi="宋体" w:cs="黑体"/>
          <w:b/>
          <w:bCs/>
          <w:spacing w:val="2"/>
          <w:w w:val="99"/>
          <w:sz w:val="32"/>
          <w:szCs w:val="32"/>
          <w:lang w:val="en-US" w:eastAsia="zh-CN"/>
        </w:rPr>
        <w:t>翔悦里</w:t>
      </w:r>
      <w:r>
        <w:rPr>
          <w:rFonts w:hint="eastAsia" w:ascii="宋体" w:hAnsi="宋体" w:cs="黑体"/>
          <w:b/>
          <w:bCs/>
          <w:spacing w:val="2"/>
          <w:w w:val="99"/>
          <w:sz w:val="32"/>
          <w:szCs w:val="32"/>
          <w:lang w:eastAsia="zh-CN"/>
        </w:rPr>
        <w:t>新能源汽车</w:t>
      </w:r>
      <w:r>
        <w:rPr>
          <w:rFonts w:hint="eastAsia" w:ascii="宋体" w:hAnsi="宋体" w:cs="黑体"/>
          <w:b/>
          <w:bCs/>
          <w:spacing w:val="2"/>
          <w:w w:val="99"/>
          <w:sz w:val="32"/>
          <w:szCs w:val="32"/>
          <w:lang w:val="en-US" w:eastAsia="zh-CN"/>
        </w:rPr>
        <w:t>快速</w:t>
      </w:r>
      <w:r>
        <w:rPr>
          <w:rFonts w:hint="eastAsia" w:ascii="宋体" w:hAnsi="宋体" w:cs="黑体"/>
          <w:b/>
          <w:bCs/>
          <w:spacing w:val="2"/>
          <w:w w:val="99"/>
          <w:sz w:val="32"/>
          <w:szCs w:val="32"/>
          <w:lang w:eastAsia="zh-CN"/>
        </w:rPr>
        <w:t>充电站合作</w:t>
      </w:r>
      <w:r>
        <w:rPr>
          <w:rFonts w:hint="eastAsia" w:ascii="宋体" w:hAnsi="宋体" w:cs="黑体"/>
          <w:b/>
          <w:bCs/>
          <w:spacing w:val="2"/>
          <w:w w:val="99"/>
          <w:sz w:val="32"/>
          <w:szCs w:val="32"/>
          <w:lang w:val="en-US" w:eastAsia="zh-CN"/>
        </w:rPr>
        <w:t>协议</w:t>
      </w:r>
    </w:p>
    <w:p>
      <w:pPr>
        <w:pStyle w:val="3"/>
        <w:spacing w:line="440" w:lineRule="exact"/>
        <w:jc w:val="center"/>
        <w:rPr>
          <w:sz w:val="21"/>
          <w:szCs w:val="21"/>
          <w:lang w:eastAsia="zh-CN"/>
        </w:rPr>
      </w:pPr>
      <w:r>
        <w:rPr>
          <w:rFonts w:hint="eastAsia"/>
          <w:sz w:val="21"/>
          <w:szCs w:val="21"/>
          <w:lang w:val="en-US" w:eastAsia="zh-CN"/>
        </w:rPr>
        <w:t xml:space="preserve">                             </w:t>
      </w:r>
      <w:r>
        <w:rPr>
          <w:rFonts w:hint="eastAsia"/>
          <w:sz w:val="21"/>
          <w:szCs w:val="21"/>
          <w:lang w:eastAsia="zh-CN"/>
        </w:rPr>
        <w:t>合同编号：</w:t>
      </w:r>
    </w:p>
    <w:p>
      <w:pPr>
        <w:pStyle w:val="3"/>
        <w:spacing w:line="440" w:lineRule="exact"/>
        <w:rPr>
          <w:sz w:val="21"/>
          <w:szCs w:val="21"/>
          <w:lang w:eastAsia="zh-CN"/>
        </w:rPr>
      </w:pPr>
      <w:r>
        <w:rPr>
          <w:rFonts w:hint="eastAsia"/>
          <w:sz w:val="21"/>
          <w:szCs w:val="21"/>
          <w:lang w:eastAsia="zh-CN"/>
        </w:rPr>
        <w:t>甲方：厦门火炬</w:t>
      </w:r>
      <w:r>
        <w:rPr>
          <w:rFonts w:hint="eastAsia"/>
          <w:sz w:val="21"/>
          <w:szCs w:val="21"/>
          <w:lang w:val="en-US" w:eastAsia="zh-CN"/>
        </w:rPr>
        <w:t>高新区招商服务中心</w:t>
      </w:r>
      <w:r>
        <w:rPr>
          <w:rFonts w:hint="eastAsia"/>
          <w:sz w:val="21"/>
          <w:szCs w:val="21"/>
          <w:lang w:eastAsia="zh-CN"/>
        </w:rPr>
        <w:t>有限公司</w:t>
      </w:r>
    </w:p>
    <w:p>
      <w:pPr>
        <w:pStyle w:val="3"/>
        <w:spacing w:line="440" w:lineRule="exact"/>
        <w:rPr>
          <w:spacing w:val="-1"/>
          <w:sz w:val="21"/>
          <w:szCs w:val="21"/>
          <w:u w:val="single"/>
          <w:lang w:eastAsia="zh-CN"/>
        </w:rPr>
      </w:pPr>
      <w:r>
        <w:rPr>
          <w:rFonts w:hint="eastAsia"/>
          <w:sz w:val="21"/>
          <w:szCs w:val="21"/>
          <w:lang w:eastAsia="zh-CN"/>
        </w:rPr>
        <w:t>乙方</w:t>
      </w:r>
      <w:r>
        <w:rPr>
          <w:rFonts w:hint="eastAsia"/>
          <w:spacing w:val="-1"/>
          <w:sz w:val="21"/>
          <w:szCs w:val="21"/>
          <w:lang w:eastAsia="zh-CN"/>
        </w:rPr>
        <w:t>：</w:t>
      </w:r>
    </w:p>
    <w:p>
      <w:pPr>
        <w:spacing w:line="440" w:lineRule="exact"/>
        <w:rPr>
          <w:rFonts w:ascii="宋体"/>
          <w:spacing w:val="-1"/>
          <w:sz w:val="21"/>
          <w:szCs w:val="21"/>
          <w:u w:val="single"/>
          <w:lang w:eastAsia="zh-CN"/>
        </w:rPr>
      </w:pPr>
    </w:p>
    <w:p>
      <w:pPr>
        <w:pStyle w:val="3"/>
        <w:spacing w:line="440" w:lineRule="exact"/>
        <w:ind w:left="0" w:firstLine="420" w:firstLineChars="200"/>
        <w:jc w:val="both"/>
        <w:rPr>
          <w:sz w:val="21"/>
          <w:szCs w:val="21"/>
          <w:u w:val="single" w:color="000000"/>
          <w:lang w:eastAsia="zh-CN"/>
        </w:rPr>
      </w:pPr>
      <w:r>
        <w:rPr>
          <w:rFonts w:hint="eastAsia"/>
          <w:sz w:val="21"/>
          <w:szCs w:val="21"/>
          <w:lang w:eastAsia="zh-CN"/>
        </w:rPr>
        <w:t>根</w:t>
      </w:r>
      <w:r>
        <w:rPr>
          <w:rFonts w:hint="eastAsia"/>
          <w:spacing w:val="-12"/>
          <w:sz w:val="21"/>
          <w:szCs w:val="21"/>
          <w:lang w:eastAsia="zh-CN"/>
        </w:rPr>
        <w:t>据</w:t>
      </w:r>
      <w:r>
        <w:rPr>
          <w:rFonts w:hint="eastAsia"/>
          <w:sz w:val="21"/>
          <w:szCs w:val="21"/>
          <w:lang w:eastAsia="zh-CN"/>
        </w:rPr>
        <w:t>《中华人民共和国民法典</w:t>
      </w:r>
      <w:r>
        <w:rPr>
          <w:rFonts w:hint="eastAsia"/>
          <w:spacing w:val="-12"/>
          <w:sz w:val="21"/>
          <w:szCs w:val="21"/>
          <w:lang w:eastAsia="zh-CN"/>
        </w:rPr>
        <w:t>》</w:t>
      </w:r>
      <w:r>
        <w:rPr>
          <w:rFonts w:hint="eastAsia"/>
          <w:sz w:val="21"/>
          <w:szCs w:val="21"/>
          <w:lang w:eastAsia="zh-CN"/>
        </w:rPr>
        <w:t>及相关法律法规规定</w:t>
      </w:r>
      <w:r>
        <w:rPr>
          <w:rFonts w:hint="eastAsia"/>
          <w:spacing w:val="-12"/>
          <w:sz w:val="21"/>
          <w:szCs w:val="21"/>
          <w:lang w:eastAsia="zh-CN"/>
        </w:rPr>
        <w:t>，</w:t>
      </w:r>
      <w:r>
        <w:rPr>
          <w:rFonts w:hint="eastAsia"/>
          <w:sz w:val="21"/>
          <w:szCs w:val="21"/>
          <w:lang w:eastAsia="zh-CN"/>
        </w:rPr>
        <w:t>甲、乙双方本着平等自愿</w:t>
      </w:r>
      <w:r>
        <w:rPr>
          <w:rFonts w:hint="eastAsia"/>
          <w:spacing w:val="-12"/>
          <w:sz w:val="21"/>
          <w:szCs w:val="21"/>
          <w:lang w:eastAsia="zh-CN"/>
        </w:rPr>
        <w:t>、</w:t>
      </w:r>
      <w:r>
        <w:rPr>
          <w:rFonts w:hint="eastAsia"/>
          <w:sz w:val="21"/>
          <w:szCs w:val="21"/>
          <w:lang w:eastAsia="zh-CN"/>
        </w:rPr>
        <w:t>诚实守信的原则</w:t>
      </w:r>
      <w:r>
        <w:rPr>
          <w:rFonts w:hint="eastAsia"/>
          <w:spacing w:val="-12"/>
          <w:sz w:val="21"/>
          <w:szCs w:val="21"/>
          <w:lang w:eastAsia="zh-CN"/>
        </w:rPr>
        <w:t>，</w:t>
      </w:r>
      <w:r>
        <w:rPr>
          <w:rFonts w:hint="eastAsia"/>
          <w:sz w:val="21"/>
          <w:szCs w:val="21"/>
          <w:lang w:eastAsia="zh-CN"/>
        </w:rPr>
        <w:t>经友好协商</w:t>
      </w:r>
      <w:r>
        <w:rPr>
          <w:rFonts w:hint="eastAsia"/>
          <w:spacing w:val="-12"/>
          <w:sz w:val="21"/>
          <w:szCs w:val="21"/>
          <w:lang w:eastAsia="zh-CN"/>
        </w:rPr>
        <w:t>，</w:t>
      </w:r>
      <w:r>
        <w:rPr>
          <w:rFonts w:hint="eastAsia"/>
          <w:sz w:val="21"/>
          <w:szCs w:val="21"/>
          <w:lang w:eastAsia="zh-CN"/>
        </w:rPr>
        <w:t>就</w:t>
      </w:r>
      <w:r>
        <w:rPr>
          <w:rFonts w:hint="eastAsia"/>
          <w:sz w:val="21"/>
          <w:szCs w:val="21"/>
          <w:lang w:val="en-US" w:eastAsia="zh-CN"/>
        </w:rPr>
        <w:t>火炬</w:t>
      </w:r>
      <w:bookmarkStart w:id="0" w:name="OLE_LINK1"/>
      <w:r>
        <w:rPr>
          <w:rFonts w:hint="eastAsia"/>
          <w:sz w:val="21"/>
          <w:szCs w:val="21"/>
          <w:lang w:val="en-US" w:eastAsia="zh-CN"/>
        </w:rPr>
        <w:t>翔悦里</w:t>
      </w:r>
      <w:bookmarkEnd w:id="0"/>
      <w:r>
        <w:rPr>
          <w:rFonts w:hint="eastAsia"/>
          <w:sz w:val="21"/>
          <w:szCs w:val="21"/>
          <w:lang w:val="en-US" w:eastAsia="zh-CN"/>
        </w:rPr>
        <w:t>新能源汽车快速</w:t>
      </w:r>
      <w:r>
        <w:rPr>
          <w:rFonts w:hint="eastAsia"/>
          <w:sz w:val="21"/>
          <w:szCs w:val="21"/>
          <w:lang w:eastAsia="zh-CN"/>
        </w:rPr>
        <w:t>充电站建设运营</w:t>
      </w:r>
      <w:r>
        <w:rPr>
          <w:rFonts w:hint="eastAsia"/>
          <w:spacing w:val="-1"/>
          <w:sz w:val="21"/>
          <w:szCs w:val="21"/>
          <w:lang w:eastAsia="zh-CN"/>
        </w:rPr>
        <w:t>等</w:t>
      </w:r>
      <w:r>
        <w:rPr>
          <w:rFonts w:hint="eastAsia"/>
          <w:sz w:val="21"/>
          <w:szCs w:val="21"/>
          <w:lang w:eastAsia="zh-CN"/>
        </w:rPr>
        <w:t>事宜达成合作共识，签订合同条款如下：</w:t>
      </w:r>
      <w:bookmarkStart w:id="1" w:name="_GoBack"/>
      <w:bookmarkEnd w:id="1"/>
    </w:p>
    <w:p>
      <w:pPr>
        <w:pStyle w:val="16"/>
        <w:numPr>
          <w:ilvl w:val="0"/>
          <w:numId w:val="1"/>
        </w:numPr>
        <w:spacing w:line="440" w:lineRule="exact"/>
        <w:ind w:left="0" w:firstLine="418"/>
        <w:jc w:val="both"/>
        <w:rPr>
          <w:rFonts w:ascii="宋体" w:cs="黑体"/>
          <w:b/>
          <w:bCs/>
          <w:w w:val="99"/>
          <w:sz w:val="21"/>
          <w:szCs w:val="21"/>
          <w:lang w:eastAsia="zh-CN"/>
        </w:rPr>
      </w:pPr>
      <w:r>
        <w:rPr>
          <w:rFonts w:hint="eastAsia" w:ascii="宋体" w:hAnsi="宋体" w:cs="黑体"/>
          <w:b/>
          <w:bCs/>
          <w:w w:val="99"/>
          <w:sz w:val="21"/>
          <w:szCs w:val="21"/>
          <w:lang w:eastAsia="zh-CN"/>
        </w:rPr>
        <w:t>合作方式：</w:t>
      </w:r>
    </w:p>
    <w:p>
      <w:pPr>
        <w:pStyle w:val="16"/>
        <w:spacing w:line="440" w:lineRule="exact"/>
        <w:jc w:val="both"/>
        <w:rPr>
          <w:rFonts w:ascii="宋体"/>
          <w:sz w:val="21"/>
          <w:szCs w:val="21"/>
          <w:lang w:eastAsia="zh-CN"/>
        </w:rPr>
      </w:pPr>
      <w:r>
        <w:rPr>
          <w:rFonts w:hint="eastAsia" w:ascii="宋体" w:hAnsi="宋体"/>
          <w:sz w:val="21"/>
          <w:szCs w:val="21"/>
          <w:lang w:eastAsia="zh-CN"/>
        </w:rPr>
        <w:t>1.1甲方提供其所有的、位于</w:t>
      </w:r>
      <w:r>
        <w:rPr>
          <w:rFonts w:hint="eastAsia"/>
          <w:sz w:val="21"/>
          <w:szCs w:val="21"/>
          <w:lang w:val="en-US" w:eastAsia="zh-CN"/>
        </w:rPr>
        <w:t>翔悦里</w:t>
      </w:r>
      <w:r>
        <w:rPr>
          <w:rFonts w:hint="eastAsia" w:ascii="宋体" w:hAnsi="宋体"/>
          <w:sz w:val="21"/>
          <w:szCs w:val="21"/>
          <w:lang w:eastAsia="zh-CN"/>
        </w:rPr>
        <w:t>（</w:t>
      </w:r>
      <w:r>
        <w:rPr>
          <w:rFonts w:hint="eastAsia" w:ascii="宋体" w:hAnsi="宋体"/>
          <w:sz w:val="21"/>
          <w:szCs w:val="21"/>
          <w:lang w:val="en-US" w:eastAsia="zh-CN"/>
        </w:rPr>
        <w:t>翔安区万家春路689号</w:t>
      </w:r>
      <w:r>
        <w:rPr>
          <w:rFonts w:hint="eastAsia" w:ascii="宋体" w:hAnsi="宋体"/>
          <w:sz w:val="21"/>
          <w:szCs w:val="21"/>
          <w:lang w:eastAsia="zh-CN"/>
        </w:rPr>
        <w:t>）</w:t>
      </w:r>
      <w:r>
        <w:rPr>
          <w:rFonts w:hint="eastAsia" w:ascii="宋体" w:hAnsi="宋体"/>
          <w:sz w:val="21"/>
          <w:szCs w:val="21"/>
          <w:lang w:val="en-US" w:eastAsia="zh-CN"/>
        </w:rPr>
        <w:t>东门东北侧</w:t>
      </w:r>
      <w:r>
        <w:rPr>
          <w:rFonts w:hint="eastAsia" w:ascii="宋体" w:hAnsi="宋体"/>
          <w:sz w:val="21"/>
          <w:szCs w:val="21"/>
          <w:lang w:eastAsia="zh-CN"/>
        </w:rPr>
        <w:t>的2</w:t>
      </w:r>
      <w:r>
        <w:rPr>
          <w:rFonts w:hint="eastAsia" w:ascii="宋体" w:hAnsi="宋体"/>
          <w:sz w:val="21"/>
          <w:szCs w:val="21"/>
          <w:lang w:val="en-US" w:eastAsia="zh-CN"/>
        </w:rPr>
        <w:t>4</w:t>
      </w:r>
      <w:r>
        <w:rPr>
          <w:rFonts w:hint="eastAsia" w:ascii="宋体" w:hAnsi="宋体"/>
          <w:sz w:val="21"/>
          <w:szCs w:val="21"/>
          <w:lang w:eastAsia="zh-CN"/>
        </w:rPr>
        <w:t>个停车位，由乙方投资</w:t>
      </w:r>
      <w:r>
        <w:rPr>
          <w:rFonts w:hint="eastAsia" w:ascii="宋体" w:hAnsi="宋体"/>
          <w:sz w:val="21"/>
          <w:szCs w:val="21"/>
          <w:lang w:val="en-US" w:eastAsia="zh-CN"/>
        </w:rPr>
        <w:t>建设为</w:t>
      </w:r>
      <w:r>
        <w:rPr>
          <w:rFonts w:hint="eastAsia" w:ascii="宋体" w:hAnsi="宋体"/>
          <w:sz w:val="21"/>
          <w:szCs w:val="21"/>
          <w:lang w:eastAsia="zh-CN"/>
        </w:rPr>
        <w:t>新能源汽车</w:t>
      </w:r>
      <w:r>
        <w:rPr>
          <w:rFonts w:hint="eastAsia" w:ascii="宋体" w:hAnsi="宋体"/>
          <w:sz w:val="21"/>
          <w:szCs w:val="21"/>
          <w:lang w:val="en-US" w:eastAsia="zh-CN"/>
        </w:rPr>
        <w:t>快速</w:t>
      </w:r>
      <w:r>
        <w:rPr>
          <w:rFonts w:hint="eastAsia" w:ascii="宋体" w:hAnsi="宋体"/>
          <w:sz w:val="21"/>
          <w:szCs w:val="21"/>
          <w:lang w:eastAsia="zh-CN"/>
        </w:rPr>
        <w:t>充电站（充电站具体区域和平面布置见附图），并独立经营管理维护。</w:t>
      </w:r>
    </w:p>
    <w:p>
      <w:pPr>
        <w:pStyle w:val="16"/>
        <w:spacing w:line="440" w:lineRule="exact"/>
        <w:ind w:firstLineChars="0"/>
        <w:rPr>
          <w:rFonts w:asciiTheme="minorEastAsia" w:hAnsiTheme="minorEastAsia"/>
          <w:sz w:val="21"/>
          <w:szCs w:val="21"/>
          <w:lang w:eastAsia="zh-CN"/>
        </w:rPr>
      </w:pPr>
      <w:r>
        <w:rPr>
          <w:rFonts w:hint="eastAsia" w:ascii="宋体" w:hAnsi="宋体"/>
          <w:sz w:val="21"/>
          <w:szCs w:val="21"/>
          <w:lang w:eastAsia="zh-CN"/>
        </w:rPr>
        <w:t>1.2充电站正式投入运营后，</w:t>
      </w:r>
      <w:r>
        <w:rPr>
          <w:rFonts w:hint="eastAsia" w:asciiTheme="minorEastAsia" w:hAnsiTheme="minorEastAsia"/>
          <w:sz w:val="21"/>
          <w:szCs w:val="21"/>
          <w:lang w:eastAsia="zh-CN"/>
        </w:rPr>
        <w:t>乙方按季度将该充电站收取的充电服务费（不含代收代缴的电费）的</w:t>
      </w:r>
      <w:r>
        <w:rPr>
          <w:rFonts w:hint="eastAsia" w:asciiTheme="minorEastAsia" w:hAnsiTheme="minorEastAsia"/>
          <w:sz w:val="21"/>
          <w:szCs w:val="21"/>
          <w:u w:val="single"/>
          <w:lang w:val="en-US" w:eastAsia="zh-CN"/>
        </w:rPr>
        <w:t xml:space="preserve">    </w:t>
      </w:r>
      <w:r>
        <w:rPr>
          <w:rFonts w:hint="eastAsia" w:asciiTheme="minorEastAsia" w:hAnsiTheme="minorEastAsia"/>
          <w:sz w:val="21"/>
          <w:szCs w:val="21"/>
          <w:u w:val="single"/>
          <w:lang w:eastAsia="zh-CN"/>
        </w:rPr>
        <w:t>%</w:t>
      </w:r>
      <w:r>
        <w:rPr>
          <w:rFonts w:hint="eastAsia" w:asciiTheme="minorEastAsia" w:hAnsiTheme="minorEastAsia"/>
          <w:sz w:val="21"/>
          <w:szCs w:val="21"/>
          <w:lang w:eastAsia="zh-CN"/>
        </w:rPr>
        <w:t>支付给甲方，作为甲方的收益。</w:t>
      </w:r>
      <w:r>
        <w:rPr>
          <w:rFonts w:hint="eastAsia" w:asciiTheme="minorEastAsia" w:hAnsiTheme="minorEastAsia"/>
          <w:sz w:val="21"/>
          <w:szCs w:val="21"/>
          <w:lang w:val="en-US" w:eastAsia="zh-CN"/>
        </w:rPr>
        <w:t>但</w:t>
      </w:r>
      <w:r>
        <w:rPr>
          <w:rFonts w:hint="eastAsia" w:asciiTheme="minorEastAsia" w:hAnsiTheme="minorEastAsia"/>
          <w:sz w:val="21"/>
          <w:szCs w:val="21"/>
          <w:lang w:eastAsia="zh-CN"/>
        </w:rPr>
        <w:t>若季度充电服务费分成不足</w:t>
      </w:r>
      <w:r>
        <w:rPr>
          <w:rFonts w:hint="eastAsia" w:asciiTheme="minorEastAsia" w:hAnsiTheme="minorEastAsia"/>
          <w:sz w:val="21"/>
          <w:szCs w:val="21"/>
          <w:u w:val="single"/>
          <w:lang w:val="en-US" w:eastAsia="zh-CN"/>
        </w:rPr>
        <w:t xml:space="preserve">    </w:t>
      </w:r>
      <w:r>
        <w:rPr>
          <w:rFonts w:hint="eastAsia" w:asciiTheme="minorEastAsia" w:hAnsiTheme="minorEastAsia"/>
          <w:sz w:val="21"/>
          <w:szCs w:val="21"/>
          <w:lang w:eastAsia="zh-CN"/>
        </w:rPr>
        <w:t>元时（即</w:t>
      </w:r>
      <w:r>
        <w:rPr>
          <w:rFonts w:hint="eastAsia" w:asciiTheme="minorEastAsia" w:hAnsiTheme="minorEastAsia"/>
          <w:sz w:val="21"/>
          <w:szCs w:val="21"/>
          <w:u w:val="single"/>
          <w:lang w:val="en-US" w:eastAsia="zh-CN"/>
        </w:rPr>
        <w:t>***</w:t>
      </w:r>
      <w:r>
        <w:rPr>
          <w:rFonts w:hint="eastAsia" w:asciiTheme="minorEastAsia" w:hAnsiTheme="minorEastAsia"/>
          <w:sz w:val="21"/>
          <w:szCs w:val="21"/>
          <w:u w:val="single"/>
          <w:lang w:val="en-US" w:eastAsia="zh-CN"/>
        </w:rPr>
        <w:t xml:space="preserve"> </w:t>
      </w:r>
      <w:r>
        <w:rPr>
          <w:rFonts w:hint="eastAsia" w:asciiTheme="minorEastAsia" w:hAnsiTheme="minorEastAsia"/>
          <w:sz w:val="21"/>
          <w:szCs w:val="21"/>
          <w:lang w:eastAsia="zh-CN"/>
        </w:rPr>
        <w:t>元/月/车位，含税），则</w:t>
      </w:r>
      <w:r>
        <w:rPr>
          <w:rFonts w:hint="eastAsia" w:asciiTheme="minorEastAsia" w:hAnsiTheme="minorEastAsia"/>
          <w:sz w:val="21"/>
          <w:szCs w:val="21"/>
          <w:lang w:val="en-US" w:eastAsia="zh-CN"/>
        </w:rPr>
        <w:t>乙方</w:t>
      </w:r>
      <w:r>
        <w:rPr>
          <w:rFonts w:hint="eastAsia" w:asciiTheme="minorEastAsia" w:hAnsiTheme="minorEastAsia"/>
          <w:sz w:val="21"/>
          <w:szCs w:val="21"/>
          <w:lang w:eastAsia="zh-CN"/>
        </w:rPr>
        <w:t>按</w:t>
      </w:r>
      <w:r>
        <w:rPr>
          <w:rFonts w:hint="eastAsia" w:asciiTheme="minorEastAsia" w:hAnsiTheme="minorEastAsia"/>
          <w:sz w:val="21"/>
          <w:szCs w:val="21"/>
          <w:u w:val="single"/>
          <w:lang w:val="en-US" w:eastAsia="zh-CN"/>
        </w:rPr>
        <w:t xml:space="preserve">       </w:t>
      </w:r>
      <w:r>
        <w:rPr>
          <w:rFonts w:hint="eastAsia" w:asciiTheme="minorEastAsia" w:hAnsiTheme="minorEastAsia"/>
          <w:sz w:val="21"/>
          <w:szCs w:val="21"/>
          <w:lang w:eastAsia="zh-CN"/>
        </w:rPr>
        <w:t>元</w:t>
      </w:r>
      <w:r>
        <w:rPr>
          <w:rFonts w:hint="eastAsia" w:asciiTheme="minorEastAsia" w:hAnsiTheme="minorEastAsia"/>
          <w:sz w:val="21"/>
          <w:szCs w:val="21"/>
          <w:lang w:val="en-US" w:eastAsia="zh-CN"/>
        </w:rPr>
        <w:t>收益支付给甲方</w:t>
      </w:r>
      <w:r>
        <w:rPr>
          <w:rFonts w:hint="eastAsia" w:asciiTheme="minorEastAsia" w:hAnsiTheme="minorEastAsia"/>
          <w:sz w:val="21"/>
          <w:szCs w:val="21"/>
          <w:lang w:eastAsia="zh-CN"/>
        </w:rPr>
        <w:t>。</w:t>
      </w:r>
    </w:p>
    <w:p>
      <w:pPr>
        <w:pStyle w:val="16"/>
        <w:spacing w:line="440" w:lineRule="exact"/>
        <w:ind w:firstLineChars="0"/>
        <w:rPr>
          <w:rFonts w:asciiTheme="minorEastAsia" w:hAnsiTheme="minorEastAsia"/>
          <w:sz w:val="21"/>
          <w:szCs w:val="21"/>
          <w:lang w:eastAsia="zh-CN"/>
        </w:rPr>
      </w:pPr>
      <w:r>
        <w:rPr>
          <w:rFonts w:hint="eastAsia" w:asciiTheme="minorEastAsia" w:hAnsiTheme="minorEastAsia"/>
          <w:sz w:val="21"/>
          <w:szCs w:val="21"/>
          <w:lang w:eastAsia="zh-CN"/>
        </w:rPr>
        <w:t>双方在每季度首月的10日前，完成上一季度充电服务费分成金额的核对；确认无误后，乙方在收到甲方开具的增值税专用发票（税率6%）后5个工作日内完成汇款。</w:t>
      </w:r>
    </w:p>
    <w:p>
      <w:pPr>
        <w:pStyle w:val="16"/>
        <w:spacing w:line="440" w:lineRule="exact"/>
        <w:jc w:val="both"/>
        <w:rPr>
          <w:rFonts w:ascii="宋体"/>
          <w:sz w:val="21"/>
          <w:szCs w:val="21"/>
          <w:lang w:eastAsia="zh-CN"/>
        </w:rPr>
      </w:pPr>
      <w:r>
        <w:rPr>
          <w:rFonts w:hint="eastAsia" w:ascii="宋体" w:hAnsi="宋体"/>
          <w:sz w:val="21"/>
          <w:szCs w:val="21"/>
          <w:lang w:eastAsia="zh-CN"/>
        </w:rPr>
        <w:t>甲方结算账户信息：</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pStyle w:val="16"/>
              <w:spacing w:line="440" w:lineRule="exact"/>
              <w:ind w:firstLine="0" w:firstLineChars="0"/>
              <w:jc w:val="both"/>
              <w:rPr>
                <w:rFonts w:hint="eastAsia" w:ascii="宋体" w:hAnsi="宋体" w:eastAsia="宋体"/>
                <w:b w:val="0"/>
                <w:sz w:val="21"/>
                <w:szCs w:val="21"/>
                <w:lang w:eastAsia="zh-CN"/>
              </w:rPr>
            </w:pPr>
            <w:r>
              <w:rPr>
                <w:rFonts w:hint="eastAsia" w:ascii="宋体" w:hAnsi="宋体" w:eastAsia="宋体"/>
                <w:b w:val="0"/>
                <w:sz w:val="21"/>
                <w:szCs w:val="21"/>
                <w:lang w:eastAsia="zh-CN"/>
              </w:rPr>
              <w:t>开户行</w:t>
            </w:r>
          </w:p>
        </w:tc>
        <w:tc>
          <w:tcPr>
            <w:tcW w:w="6804" w:type="dxa"/>
            <w:tcBorders>
              <w:top w:val="single" w:color="auto" w:sz="4" w:space="0"/>
              <w:left w:val="single" w:color="auto" w:sz="4" w:space="0"/>
              <w:bottom w:val="single" w:color="auto" w:sz="4" w:space="0"/>
              <w:right w:val="single" w:color="auto" w:sz="4" w:space="0"/>
            </w:tcBorders>
          </w:tcPr>
          <w:p>
            <w:pPr>
              <w:pStyle w:val="16"/>
              <w:spacing w:line="440" w:lineRule="exact"/>
              <w:ind w:firstLine="0"/>
              <w:jc w:val="both"/>
              <w:rPr>
                <w:rFonts w:hint="eastAsia" w:ascii="宋体" w:hAnsi="宋体" w:eastAsia="宋体"/>
                <w:b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pStyle w:val="16"/>
              <w:spacing w:line="440" w:lineRule="exact"/>
              <w:ind w:firstLine="0" w:firstLineChars="0"/>
              <w:jc w:val="both"/>
              <w:rPr>
                <w:rFonts w:hint="eastAsia" w:ascii="宋体" w:hAnsi="宋体" w:eastAsia="宋体"/>
                <w:b w:val="0"/>
                <w:sz w:val="21"/>
                <w:szCs w:val="21"/>
                <w:lang w:eastAsia="zh-CN"/>
              </w:rPr>
            </w:pPr>
            <w:r>
              <w:rPr>
                <w:rFonts w:hint="eastAsia" w:ascii="宋体" w:hAnsi="宋体" w:eastAsia="宋体"/>
                <w:b w:val="0"/>
                <w:sz w:val="21"/>
                <w:szCs w:val="21"/>
                <w:lang w:eastAsia="zh-CN"/>
              </w:rPr>
              <w:t>开户名</w:t>
            </w:r>
          </w:p>
        </w:tc>
        <w:tc>
          <w:tcPr>
            <w:tcW w:w="6804" w:type="dxa"/>
            <w:tcBorders>
              <w:top w:val="single" w:color="auto" w:sz="4" w:space="0"/>
              <w:left w:val="single" w:color="auto" w:sz="4" w:space="0"/>
              <w:bottom w:val="single" w:color="auto" w:sz="4" w:space="0"/>
              <w:right w:val="single" w:color="auto" w:sz="4" w:space="0"/>
            </w:tcBorders>
          </w:tcPr>
          <w:p>
            <w:pPr>
              <w:pStyle w:val="16"/>
              <w:spacing w:line="440" w:lineRule="exact"/>
              <w:jc w:val="both"/>
              <w:rPr>
                <w:rFonts w:hint="eastAsia" w:ascii="宋体" w:hAnsi="宋体" w:eastAsia="宋体" w:cs="Times New Roman"/>
                <w:sz w:val="21"/>
                <w:szCs w:val="21"/>
                <w:lang w:val="zh-CN" w:eastAsia="zh-CN"/>
              </w:rPr>
            </w:pPr>
            <w:r>
              <w:rPr>
                <w:rFonts w:hint="eastAsia"/>
                <w:sz w:val="21"/>
                <w:szCs w:val="21"/>
                <w:lang w:eastAsia="zh-CN"/>
              </w:rPr>
              <w:t>厦门火炬</w:t>
            </w:r>
            <w:r>
              <w:rPr>
                <w:rFonts w:hint="eastAsia"/>
                <w:sz w:val="21"/>
                <w:szCs w:val="21"/>
                <w:lang w:val="en-US" w:eastAsia="zh-CN"/>
              </w:rPr>
              <w:t>高新区招商服务中心</w:t>
            </w:r>
            <w:r>
              <w:rPr>
                <w:rFonts w:hint="eastAsia"/>
                <w:sz w:val="21"/>
                <w:szCs w:val="21"/>
                <w:lang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pStyle w:val="16"/>
              <w:spacing w:line="440" w:lineRule="exact"/>
              <w:ind w:firstLine="0" w:firstLineChars="0"/>
              <w:jc w:val="both"/>
              <w:rPr>
                <w:rFonts w:hint="eastAsia" w:ascii="宋体" w:hAnsi="宋体" w:eastAsia="宋体"/>
                <w:b w:val="0"/>
                <w:sz w:val="21"/>
                <w:szCs w:val="21"/>
                <w:lang w:eastAsia="zh-CN"/>
              </w:rPr>
            </w:pPr>
            <w:r>
              <w:rPr>
                <w:rFonts w:hint="eastAsia" w:ascii="宋体" w:hAnsi="宋体" w:eastAsia="宋体"/>
                <w:b w:val="0"/>
                <w:sz w:val="21"/>
                <w:szCs w:val="21"/>
                <w:lang w:eastAsia="zh-CN"/>
              </w:rPr>
              <w:t>账号</w:t>
            </w:r>
          </w:p>
        </w:tc>
        <w:tc>
          <w:tcPr>
            <w:tcW w:w="6804" w:type="dxa"/>
            <w:tcBorders>
              <w:top w:val="single" w:color="auto" w:sz="4" w:space="0"/>
              <w:left w:val="single" w:color="auto" w:sz="4" w:space="0"/>
              <w:bottom w:val="single" w:color="auto" w:sz="4" w:space="0"/>
              <w:right w:val="single" w:color="auto" w:sz="4" w:space="0"/>
            </w:tcBorders>
          </w:tcPr>
          <w:p>
            <w:pPr>
              <w:pStyle w:val="16"/>
              <w:spacing w:line="440" w:lineRule="exact"/>
              <w:ind w:firstLine="0"/>
              <w:jc w:val="both"/>
              <w:rPr>
                <w:rFonts w:hint="eastAsia" w:ascii="宋体" w:hAnsi="宋体" w:eastAsia="宋体"/>
                <w:b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tcPr>
          <w:p>
            <w:pPr>
              <w:pStyle w:val="16"/>
              <w:spacing w:line="440" w:lineRule="exact"/>
              <w:ind w:firstLine="0" w:firstLineChars="0"/>
              <w:jc w:val="both"/>
              <w:rPr>
                <w:rFonts w:hint="eastAsia" w:ascii="宋体" w:hAnsi="宋体" w:eastAsia="宋体"/>
                <w:b w:val="0"/>
                <w:sz w:val="21"/>
                <w:szCs w:val="21"/>
                <w:lang w:eastAsia="zh-CN"/>
              </w:rPr>
            </w:pPr>
            <w:r>
              <w:rPr>
                <w:rFonts w:hint="eastAsia" w:ascii="宋体" w:hAnsi="宋体" w:eastAsia="宋体"/>
                <w:b w:val="0"/>
                <w:sz w:val="21"/>
                <w:szCs w:val="21"/>
                <w:lang w:eastAsia="zh-CN"/>
              </w:rPr>
              <w:t>纳税人识别号</w:t>
            </w:r>
          </w:p>
        </w:tc>
        <w:tc>
          <w:tcPr>
            <w:tcW w:w="6804" w:type="dxa"/>
            <w:tcBorders>
              <w:top w:val="single" w:color="auto" w:sz="4" w:space="0"/>
              <w:left w:val="single" w:color="auto" w:sz="4" w:space="0"/>
              <w:bottom w:val="single" w:color="auto" w:sz="4" w:space="0"/>
              <w:right w:val="single" w:color="auto" w:sz="4" w:space="0"/>
            </w:tcBorders>
          </w:tcPr>
          <w:p>
            <w:pPr>
              <w:pStyle w:val="16"/>
              <w:spacing w:line="440" w:lineRule="exact"/>
              <w:ind w:firstLine="0"/>
              <w:jc w:val="both"/>
              <w:rPr>
                <w:rFonts w:hint="eastAsia" w:ascii="宋体" w:hAnsi="宋体" w:eastAsia="宋体" w:cs="Times New Roman"/>
                <w:sz w:val="21"/>
                <w:szCs w:val="21"/>
                <w:lang w:val="zh-CN" w:eastAsia="zh-CN"/>
              </w:rPr>
            </w:pPr>
          </w:p>
        </w:tc>
      </w:tr>
    </w:tbl>
    <w:p>
      <w:pPr>
        <w:pStyle w:val="16"/>
        <w:numPr>
          <w:ilvl w:val="0"/>
          <w:numId w:val="1"/>
        </w:numPr>
        <w:spacing w:line="440" w:lineRule="exact"/>
        <w:ind w:left="0" w:firstLine="418"/>
        <w:jc w:val="both"/>
        <w:rPr>
          <w:rFonts w:ascii="宋体" w:cs="黑体"/>
          <w:b/>
          <w:bCs/>
          <w:w w:val="99"/>
          <w:sz w:val="21"/>
          <w:szCs w:val="21"/>
        </w:rPr>
      </w:pPr>
      <w:r>
        <w:rPr>
          <w:rFonts w:hint="eastAsia" w:ascii="宋体" w:hAnsi="宋体" w:cs="黑体"/>
          <w:b/>
          <w:bCs/>
          <w:w w:val="99"/>
          <w:sz w:val="21"/>
          <w:szCs w:val="21"/>
        </w:rPr>
        <w:t>合作期限</w:t>
      </w:r>
      <w:r>
        <w:rPr>
          <w:rFonts w:hint="eastAsia" w:ascii="宋体" w:hAnsi="宋体" w:cs="黑体"/>
          <w:b/>
          <w:bCs/>
          <w:w w:val="99"/>
          <w:sz w:val="21"/>
          <w:szCs w:val="21"/>
          <w:lang w:eastAsia="zh-CN"/>
        </w:rPr>
        <w:t>：</w:t>
      </w:r>
    </w:p>
    <w:p>
      <w:pPr>
        <w:spacing w:line="440" w:lineRule="exact"/>
        <w:ind w:firstLine="420" w:firstLineChars="200"/>
        <w:jc w:val="both"/>
        <w:rPr>
          <w:rFonts w:ascii="宋体" w:hAnsi="宋体"/>
          <w:sz w:val="21"/>
          <w:szCs w:val="21"/>
          <w:lang w:eastAsia="zh-CN"/>
        </w:rPr>
      </w:pPr>
      <w:r>
        <w:rPr>
          <w:rFonts w:hint="eastAsia" w:ascii="宋体" w:hAnsi="宋体"/>
          <w:sz w:val="21"/>
          <w:szCs w:val="21"/>
          <w:lang w:eastAsia="zh-CN"/>
        </w:rPr>
        <w:t>合</w:t>
      </w:r>
      <w:r>
        <w:rPr>
          <w:rFonts w:hint="eastAsia" w:ascii="宋体" w:hAnsi="宋体"/>
          <w:spacing w:val="-1"/>
          <w:sz w:val="21"/>
          <w:szCs w:val="21"/>
          <w:lang w:eastAsia="zh-CN"/>
        </w:rPr>
        <w:t>作</w:t>
      </w:r>
      <w:r>
        <w:rPr>
          <w:rFonts w:hint="eastAsia" w:ascii="宋体" w:hAnsi="宋体"/>
          <w:sz w:val="21"/>
          <w:szCs w:val="21"/>
          <w:lang w:eastAsia="zh-CN"/>
        </w:rPr>
        <w:t>期限：</w:t>
      </w:r>
      <w:r>
        <w:rPr>
          <w:rFonts w:hint="eastAsia" w:ascii="宋体" w:hAnsi="宋体"/>
          <w:sz w:val="21"/>
          <w:szCs w:val="21"/>
          <w:u w:val="single"/>
          <w:lang w:val="en-US" w:eastAsia="zh-CN"/>
        </w:rPr>
        <w:t xml:space="preserve">     </w:t>
      </w:r>
      <w:r>
        <w:rPr>
          <w:rFonts w:hint="eastAsia" w:ascii="宋体" w:hAnsi="宋体"/>
          <w:sz w:val="21"/>
          <w:szCs w:val="21"/>
          <w:u w:val="single"/>
          <w:lang w:eastAsia="zh-CN"/>
        </w:rPr>
        <w:t>年</w:t>
      </w:r>
      <w:r>
        <w:rPr>
          <w:rFonts w:hint="eastAsia" w:ascii="宋体" w:hAnsi="宋体"/>
          <w:sz w:val="21"/>
          <w:szCs w:val="21"/>
          <w:u w:val="single"/>
          <w:lang w:val="en-US" w:eastAsia="zh-CN"/>
        </w:rPr>
        <w:t xml:space="preserve">   </w:t>
      </w:r>
      <w:r>
        <w:rPr>
          <w:rFonts w:hint="eastAsia" w:ascii="宋体" w:hAnsi="宋体"/>
          <w:sz w:val="21"/>
          <w:szCs w:val="21"/>
          <w:u w:val="single"/>
          <w:lang w:eastAsia="zh-CN"/>
        </w:rPr>
        <w:t>月</w:t>
      </w:r>
      <w:r>
        <w:rPr>
          <w:rFonts w:hint="eastAsia" w:ascii="宋体" w:hAnsi="宋体"/>
          <w:sz w:val="21"/>
          <w:szCs w:val="21"/>
          <w:u w:val="single"/>
          <w:lang w:val="en-US" w:eastAsia="zh-CN"/>
        </w:rPr>
        <w:t xml:space="preserve">   </w:t>
      </w:r>
      <w:r>
        <w:rPr>
          <w:rFonts w:hint="eastAsia" w:ascii="宋体" w:hAnsi="宋体"/>
          <w:sz w:val="21"/>
          <w:szCs w:val="21"/>
          <w:u w:val="single"/>
          <w:lang w:eastAsia="zh-CN"/>
        </w:rPr>
        <w:t>日</w:t>
      </w:r>
      <w:r>
        <w:rPr>
          <w:rFonts w:hint="eastAsia" w:ascii="宋体" w:hAnsi="宋体"/>
          <w:sz w:val="21"/>
          <w:szCs w:val="21"/>
          <w:u w:val="single" w:color="000000"/>
          <w:lang w:eastAsia="zh-CN"/>
        </w:rPr>
        <w:t>起至</w:t>
      </w:r>
      <w:r>
        <w:rPr>
          <w:rFonts w:hint="eastAsia" w:ascii="宋体" w:hAnsi="宋体"/>
          <w:sz w:val="21"/>
          <w:szCs w:val="21"/>
          <w:u w:val="single" w:color="000000"/>
          <w:lang w:val="en-US" w:eastAsia="zh-CN"/>
        </w:rPr>
        <w:t xml:space="preserve">     </w:t>
      </w:r>
      <w:r>
        <w:rPr>
          <w:rFonts w:hint="eastAsia" w:ascii="宋体" w:hAnsi="宋体"/>
          <w:sz w:val="21"/>
          <w:szCs w:val="21"/>
          <w:u w:val="single" w:color="000000"/>
          <w:lang w:eastAsia="zh-CN"/>
        </w:rPr>
        <w:t>年</w:t>
      </w:r>
      <w:r>
        <w:rPr>
          <w:rFonts w:hint="eastAsia" w:ascii="宋体" w:hAnsi="宋体"/>
          <w:sz w:val="21"/>
          <w:szCs w:val="21"/>
          <w:u w:val="single" w:color="000000"/>
          <w:lang w:val="en-US" w:eastAsia="zh-CN"/>
        </w:rPr>
        <w:t xml:space="preserve">   </w:t>
      </w:r>
      <w:r>
        <w:rPr>
          <w:rFonts w:hint="eastAsia" w:ascii="宋体" w:hAnsi="宋体"/>
          <w:sz w:val="21"/>
          <w:szCs w:val="21"/>
          <w:u w:val="single" w:color="000000"/>
          <w:lang w:eastAsia="zh-CN"/>
        </w:rPr>
        <w:t>月</w:t>
      </w:r>
      <w:r>
        <w:rPr>
          <w:rFonts w:hint="eastAsia" w:ascii="宋体" w:hAnsi="宋体"/>
          <w:sz w:val="21"/>
          <w:szCs w:val="21"/>
          <w:u w:val="single" w:color="000000"/>
          <w:lang w:val="en-US" w:eastAsia="zh-CN"/>
        </w:rPr>
        <w:t xml:space="preserve">   </w:t>
      </w:r>
      <w:r>
        <w:rPr>
          <w:rFonts w:hint="eastAsia" w:ascii="宋体" w:hAnsi="宋体"/>
          <w:sz w:val="21"/>
          <w:szCs w:val="21"/>
          <w:u w:val="single" w:color="000000"/>
          <w:lang w:eastAsia="zh-CN"/>
        </w:rPr>
        <w:t>日</w:t>
      </w:r>
      <w:r>
        <w:rPr>
          <w:rFonts w:hint="eastAsia" w:ascii="宋体" w:hAnsi="宋体"/>
          <w:sz w:val="21"/>
          <w:szCs w:val="21"/>
          <w:u w:val="single" w:color="000000"/>
          <w:lang w:val="en-US" w:eastAsia="zh-CN"/>
        </w:rPr>
        <w:t>止</w:t>
      </w:r>
      <w:r>
        <w:rPr>
          <w:rFonts w:hint="eastAsia" w:ascii="宋体" w:hAnsi="宋体"/>
          <w:sz w:val="21"/>
          <w:szCs w:val="21"/>
          <w:lang w:eastAsia="zh-CN"/>
        </w:rPr>
        <w:t>。</w:t>
      </w:r>
    </w:p>
    <w:p>
      <w:pPr>
        <w:pStyle w:val="16"/>
        <w:numPr>
          <w:ilvl w:val="0"/>
          <w:numId w:val="1"/>
        </w:numPr>
        <w:spacing w:line="440" w:lineRule="exact"/>
        <w:ind w:left="0" w:firstLine="418"/>
        <w:jc w:val="both"/>
        <w:rPr>
          <w:rFonts w:ascii="宋体" w:cs="黑体"/>
          <w:b/>
          <w:bCs/>
          <w:w w:val="99"/>
          <w:sz w:val="21"/>
          <w:szCs w:val="21"/>
          <w:lang w:eastAsia="zh-CN"/>
        </w:rPr>
      </w:pPr>
      <w:r>
        <w:rPr>
          <w:rFonts w:hint="eastAsia" w:ascii="宋体" w:hAnsi="宋体" w:cs="黑体"/>
          <w:b/>
          <w:bCs/>
          <w:w w:val="99"/>
          <w:sz w:val="21"/>
          <w:szCs w:val="21"/>
          <w:lang w:eastAsia="zh-CN"/>
        </w:rPr>
        <w:t>充电停车场的使用：</w:t>
      </w:r>
    </w:p>
    <w:p>
      <w:pPr>
        <w:spacing w:line="440" w:lineRule="exact"/>
        <w:ind w:firstLine="420" w:firstLineChars="200"/>
        <w:jc w:val="both"/>
        <w:rPr>
          <w:rFonts w:ascii="宋体" w:hAnsi="宋体"/>
          <w:sz w:val="21"/>
          <w:szCs w:val="21"/>
          <w:lang w:eastAsia="zh-CN"/>
        </w:rPr>
      </w:pPr>
      <w:r>
        <w:rPr>
          <w:rFonts w:hint="eastAsia" w:ascii="宋体" w:hAnsi="宋体"/>
          <w:sz w:val="21"/>
          <w:szCs w:val="21"/>
          <w:lang w:eastAsia="zh-CN"/>
        </w:rPr>
        <w:t>充电停车场建设完成后在满足园区自身供应能力下作为开放的、面向社会服务的公共充电设施，为所有适用车辆提供充电服务。对外开放充电营业时间：每天24小时。</w:t>
      </w:r>
    </w:p>
    <w:p>
      <w:pPr>
        <w:spacing w:line="440" w:lineRule="exact"/>
        <w:ind w:firstLine="420" w:firstLineChars="200"/>
        <w:jc w:val="both"/>
        <w:rPr>
          <w:rFonts w:ascii="宋体"/>
          <w:sz w:val="21"/>
          <w:szCs w:val="21"/>
          <w:lang w:eastAsia="zh-CN"/>
        </w:rPr>
      </w:pPr>
      <w:r>
        <w:rPr>
          <w:rFonts w:hint="eastAsia" w:ascii="宋体" w:hAnsi="宋体"/>
          <w:sz w:val="21"/>
          <w:szCs w:val="21"/>
          <w:lang w:eastAsia="zh-CN"/>
        </w:rPr>
        <w:t>乙方承诺优先保证园区车辆充电使用该充电停车场。</w:t>
      </w:r>
    </w:p>
    <w:p>
      <w:pPr>
        <w:pStyle w:val="16"/>
        <w:numPr>
          <w:ilvl w:val="0"/>
          <w:numId w:val="1"/>
        </w:numPr>
        <w:spacing w:line="440" w:lineRule="exact"/>
        <w:ind w:left="0" w:firstLine="418"/>
        <w:jc w:val="both"/>
        <w:rPr>
          <w:rFonts w:ascii="宋体" w:cs="黑体"/>
          <w:b/>
          <w:bCs/>
          <w:w w:val="99"/>
          <w:sz w:val="21"/>
          <w:szCs w:val="21"/>
          <w:lang w:eastAsia="zh-CN"/>
        </w:rPr>
      </w:pPr>
      <w:r>
        <w:rPr>
          <w:rFonts w:hint="eastAsia" w:ascii="宋体" w:hAnsi="宋体" w:cs="黑体"/>
          <w:b/>
          <w:bCs/>
          <w:w w:val="99"/>
          <w:sz w:val="21"/>
          <w:szCs w:val="21"/>
          <w:lang w:eastAsia="zh-CN"/>
        </w:rPr>
        <w:t>合作内容：</w:t>
      </w:r>
    </w:p>
    <w:p>
      <w:pPr>
        <w:pStyle w:val="16"/>
        <w:numPr>
          <w:ilvl w:val="1"/>
          <w:numId w:val="1"/>
        </w:numPr>
        <w:spacing w:line="440" w:lineRule="exact"/>
        <w:ind w:left="0" w:firstLine="420"/>
        <w:jc w:val="both"/>
        <w:rPr>
          <w:rFonts w:ascii="宋体" w:cs="黑体"/>
          <w:b/>
          <w:bCs/>
          <w:w w:val="99"/>
          <w:sz w:val="21"/>
          <w:szCs w:val="21"/>
          <w:lang w:eastAsia="zh-CN"/>
        </w:rPr>
      </w:pPr>
      <w:r>
        <w:rPr>
          <w:rFonts w:hint="eastAsia" w:ascii="宋体" w:hAnsi="宋体"/>
          <w:sz w:val="21"/>
          <w:szCs w:val="21"/>
          <w:lang w:eastAsia="zh-CN"/>
        </w:rPr>
        <w:t>乙方负责充电站的设施建设和运营维护(包括充电桩及配套的停车道闸、监控、照明、洗车及休息区等)，并承担设施建设和运维费用。</w:t>
      </w:r>
    </w:p>
    <w:p>
      <w:pPr>
        <w:pStyle w:val="16"/>
        <w:numPr>
          <w:ilvl w:val="1"/>
          <w:numId w:val="1"/>
        </w:numPr>
        <w:spacing w:line="440" w:lineRule="exact"/>
        <w:ind w:left="0" w:firstLine="420"/>
        <w:jc w:val="both"/>
        <w:rPr>
          <w:rFonts w:ascii="宋体" w:cs="黑体"/>
          <w:b/>
          <w:bCs/>
          <w:w w:val="99"/>
          <w:sz w:val="21"/>
          <w:szCs w:val="21"/>
          <w:lang w:eastAsia="zh-CN"/>
        </w:rPr>
      </w:pPr>
      <w:r>
        <w:rPr>
          <w:rFonts w:hint="eastAsia" w:ascii="宋体" w:hAnsi="宋体"/>
          <w:sz w:val="21"/>
          <w:szCs w:val="21"/>
          <w:lang w:eastAsia="zh-CN"/>
        </w:rPr>
        <w:t>充电站的电力接入由乙方向供电企业单独申请高压报装增容，并承担由此产生的费用；甲方提供用地红线图和用电场所租赁责任承诺书，协助乙方申报。</w:t>
      </w:r>
    </w:p>
    <w:p>
      <w:pPr>
        <w:pStyle w:val="16"/>
        <w:spacing w:line="440" w:lineRule="exact"/>
        <w:ind w:left="420" w:firstLine="0" w:firstLineChars="0"/>
        <w:jc w:val="both"/>
        <w:rPr>
          <w:rFonts w:ascii="宋体" w:hAnsi="宋体"/>
          <w:sz w:val="21"/>
          <w:szCs w:val="21"/>
          <w:lang w:eastAsia="zh-CN"/>
        </w:rPr>
      </w:pPr>
      <w:r>
        <w:rPr>
          <w:rFonts w:hint="eastAsia" w:ascii="宋体" w:hAnsi="宋体"/>
          <w:sz w:val="21"/>
          <w:szCs w:val="21"/>
          <w:lang w:eastAsia="zh-CN"/>
        </w:rPr>
        <w:t>4.3.充电站产生的电费由乙方与供电企业单独结算，甲方不承担充电站产生的电费。</w:t>
      </w:r>
      <w:r>
        <w:rPr>
          <w:rFonts w:ascii="宋体" w:hAnsi="宋体"/>
          <w:sz w:val="21"/>
          <w:szCs w:val="21"/>
          <w:lang w:eastAsia="zh-CN"/>
        </w:rPr>
        <w:t xml:space="preserve"> </w:t>
      </w:r>
    </w:p>
    <w:p>
      <w:pPr>
        <w:pStyle w:val="16"/>
        <w:spacing w:line="440" w:lineRule="exact"/>
        <w:ind w:firstLineChars="0"/>
        <w:jc w:val="both"/>
        <w:rPr>
          <w:rFonts w:ascii="宋体" w:hAnsi="宋体"/>
          <w:sz w:val="21"/>
          <w:szCs w:val="21"/>
          <w:lang w:eastAsia="zh-CN"/>
        </w:rPr>
      </w:pPr>
      <w:r>
        <w:rPr>
          <w:rFonts w:hint="eastAsia" w:ascii="宋体" w:hAnsi="宋体"/>
          <w:sz w:val="21"/>
          <w:szCs w:val="21"/>
          <w:lang w:eastAsia="zh-CN"/>
        </w:rPr>
        <w:t>4.4.本合同签订后，如出现合作项目无法通过政府相关部门备案、审批、场地不满足施工条件且经各方面协调后仍然不满足、高压报装申请未获得供电局批准等致使合同目的无法实现的情形的，则经一方书面通知另一方后，本合同自动终止，双方互不承担责任，并自行承担各自损失；乙方应在合同终止1</w:t>
      </w:r>
      <w:r>
        <w:rPr>
          <w:rFonts w:ascii="宋体" w:hAnsi="宋体"/>
          <w:sz w:val="21"/>
          <w:szCs w:val="21"/>
          <w:lang w:eastAsia="zh-CN"/>
        </w:rPr>
        <w:t>5</w:t>
      </w:r>
      <w:r>
        <w:rPr>
          <w:rFonts w:hint="eastAsia" w:ascii="宋体" w:hAnsi="宋体"/>
          <w:sz w:val="21"/>
          <w:szCs w:val="21"/>
          <w:lang w:eastAsia="zh-CN"/>
        </w:rPr>
        <w:t>个工作日内清退并返还甲方提供的区域。</w:t>
      </w:r>
    </w:p>
    <w:p>
      <w:pPr>
        <w:pStyle w:val="16"/>
        <w:spacing w:line="440" w:lineRule="exact"/>
        <w:ind w:firstLineChars="0"/>
        <w:jc w:val="both"/>
        <w:rPr>
          <w:rFonts w:ascii="宋体" w:hAnsi="宋体"/>
          <w:sz w:val="21"/>
          <w:szCs w:val="21"/>
          <w:lang w:eastAsia="zh-CN"/>
        </w:rPr>
      </w:pPr>
      <w:r>
        <w:rPr>
          <w:rFonts w:hint="eastAsia" w:ascii="宋体" w:hAnsi="宋体"/>
          <w:sz w:val="21"/>
          <w:szCs w:val="21"/>
          <w:lang w:eastAsia="zh-CN"/>
        </w:rPr>
        <w:t>4.5.充电站建成后，由乙方负责充电站的相关安全责任，若因充电站安全或充电业务引起争议和纠纷的，由乙方全权承担责任。</w:t>
      </w:r>
    </w:p>
    <w:p>
      <w:pPr>
        <w:pStyle w:val="16"/>
        <w:spacing w:line="440" w:lineRule="exact"/>
        <w:ind w:firstLineChars="0"/>
        <w:jc w:val="both"/>
        <w:rPr>
          <w:rFonts w:ascii="宋体" w:hAnsi="宋体"/>
          <w:sz w:val="21"/>
          <w:szCs w:val="21"/>
          <w:lang w:eastAsia="zh-CN"/>
        </w:rPr>
      </w:pPr>
      <w:r>
        <w:rPr>
          <w:rFonts w:hint="eastAsia" w:ascii="宋体" w:hAnsi="宋体"/>
          <w:sz w:val="21"/>
          <w:szCs w:val="21"/>
          <w:lang w:eastAsia="zh-CN"/>
        </w:rPr>
        <w:t>4.6. 充电站投运后，乙方开通一个专门的平台账号，供甲方查询该充电站充电情况。</w:t>
      </w:r>
    </w:p>
    <w:p>
      <w:pPr>
        <w:pStyle w:val="16"/>
        <w:numPr>
          <w:ilvl w:val="0"/>
          <w:numId w:val="1"/>
        </w:numPr>
        <w:spacing w:line="440" w:lineRule="exact"/>
        <w:ind w:left="0" w:firstLine="418"/>
        <w:jc w:val="both"/>
        <w:rPr>
          <w:rFonts w:ascii="宋体" w:cs="黑体"/>
          <w:b/>
          <w:bCs/>
          <w:w w:val="99"/>
          <w:sz w:val="21"/>
          <w:szCs w:val="21"/>
        </w:rPr>
      </w:pPr>
      <w:r>
        <w:rPr>
          <w:rFonts w:hint="eastAsia" w:ascii="宋体" w:hAnsi="宋体" w:cs="黑体"/>
          <w:b/>
          <w:bCs/>
          <w:w w:val="99"/>
          <w:sz w:val="21"/>
          <w:szCs w:val="21"/>
        </w:rPr>
        <w:t>权利与义务</w:t>
      </w:r>
      <w:r>
        <w:rPr>
          <w:rFonts w:hint="eastAsia" w:ascii="宋体" w:hAnsi="宋体" w:cs="黑体"/>
          <w:b/>
          <w:bCs/>
          <w:w w:val="99"/>
          <w:sz w:val="21"/>
          <w:szCs w:val="21"/>
          <w:lang w:eastAsia="zh-CN"/>
        </w:rPr>
        <w:t>：</w:t>
      </w:r>
    </w:p>
    <w:p>
      <w:pPr>
        <w:pStyle w:val="16"/>
        <w:numPr>
          <w:ilvl w:val="1"/>
          <w:numId w:val="1"/>
        </w:numPr>
        <w:spacing w:line="440" w:lineRule="exact"/>
        <w:ind w:left="0" w:firstLine="426"/>
        <w:jc w:val="both"/>
        <w:rPr>
          <w:rFonts w:ascii="宋体" w:cs="黑体"/>
          <w:b/>
          <w:bCs/>
          <w:w w:val="99"/>
          <w:sz w:val="21"/>
          <w:szCs w:val="21"/>
          <w:lang w:eastAsia="zh-CN"/>
        </w:rPr>
      </w:pPr>
      <w:r>
        <w:rPr>
          <w:rFonts w:hint="eastAsia" w:ascii="宋体" w:hAnsi="宋体" w:cs="黑体"/>
          <w:b/>
          <w:bCs/>
          <w:spacing w:val="2"/>
          <w:w w:val="99"/>
          <w:sz w:val="21"/>
          <w:szCs w:val="21"/>
          <w:lang w:eastAsia="zh-CN"/>
        </w:rPr>
        <w:t>甲</w:t>
      </w:r>
      <w:r>
        <w:rPr>
          <w:rFonts w:hint="eastAsia" w:ascii="宋体" w:hAnsi="宋体" w:cs="黑体"/>
          <w:b/>
          <w:bCs/>
          <w:spacing w:val="-1"/>
          <w:w w:val="99"/>
          <w:sz w:val="21"/>
          <w:szCs w:val="21"/>
          <w:lang w:eastAsia="zh-CN"/>
        </w:rPr>
        <w:t>方</w:t>
      </w:r>
      <w:r>
        <w:rPr>
          <w:rFonts w:hint="eastAsia" w:ascii="宋体" w:hAnsi="宋体" w:cs="黑体"/>
          <w:b/>
          <w:bCs/>
          <w:spacing w:val="2"/>
          <w:w w:val="99"/>
          <w:sz w:val="21"/>
          <w:szCs w:val="21"/>
          <w:lang w:eastAsia="zh-CN"/>
        </w:rPr>
        <w:t>的</w:t>
      </w:r>
      <w:r>
        <w:rPr>
          <w:rFonts w:hint="eastAsia" w:ascii="宋体" w:hAnsi="宋体" w:cs="黑体"/>
          <w:b/>
          <w:bCs/>
          <w:w w:val="99"/>
          <w:sz w:val="21"/>
          <w:szCs w:val="21"/>
          <w:lang w:eastAsia="zh-CN"/>
        </w:rPr>
        <w:t>权利</w:t>
      </w:r>
      <w:r>
        <w:rPr>
          <w:rFonts w:hint="eastAsia" w:ascii="宋体" w:hAnsi="宋体" w:cs="黑体"/>
          <w:b/>
          <w:bCs/>
          <w:spacing w:val="2"/>
          <w:w w:val="99"/>
          <w:sz w:val="21"/>
          <w:szCs w:val="21"/>
          <w:lang w:eastAsia="zh-CN"/>
        </w:rPr>
        <w:t>和</w:t>
      </w:r>
      <w:r>
        <w:rPr>
          <w:rFonts w:hint="eastAsia" w:ascii="宋体" w:hAnsi="宋体" w:cs="黑体"/>
          <w:b/>
          <w:bCs/>
          <w:w w:val="99"/>
          <w:sz w:val="21"/>
          <w:szCs w:val="21"/>
          <w:lang w:eastAsia="zh-CN"/>
        </w:rPr>
        <w:t>义务：</w:t>
      </w:r>
    </w:p>
    <w:p>
      <w:pPr>
        <w:pStyle w:val="16"/>
        <w:numPr>
          <w:ilvl w:val="2"/>
          <w:numId w:val="1"/>
        </w:numPr>
        <w:spacing w:line="440" w:lineRule="exact"/>
        <w:ind w:left="0" w:firstLine="428"/>
        <w:jc w:val="both"/>
        <w:rPr>
          <w:rFonts w:ascii="宋体" w:cs="黑体"/>
          <w:b/>
          <w:bCs/>
          <w:w w:val="99"/>
          <w:sz w:val="21"/>
          <w:szCs w:val="21"/>
          <w:lang w:eastAsia="zh-CN"/>
        </w:rPr>
      </w:pPr>
      <w:r>
        <w:rPr>
          <w:rFonts w:hint="eastAsia" w:ascii="宋体" w:hAnsi="宋体"/>
          <w:spacing w:val="2"/>
          <w:sz w:val="21"/>
          <w:szCs w:val="21"/>
          <w:lang w:eastAsia="zh-CN"/>
        </w:rPr>
        <w:t>合作期限内，</w:t>
      </w:r>
      <w:r>
        <w:rPr>
          <w:rFonts w:hint="eastAsia" w:ascii="宋体" w:hAnsi="宋体"/>
          <w:sz w:val="21"/>
          <w:szCs w:val="21"/>
          <w:lang w:eastAsia="zh-CN"/>
        </w:rPr>
        <w:t>乙方独立经营，甲方享有合同约定的收益权。</w:t>
      </w:r>
    </w:p>
    <w:p>
      <w:pPr>
        <w:pStyle w:val="16"/>
        <w:numPr>
          <w:ilvl w:val="2"/>
          <w:numId w:val="1"/>
        </w:numPr>
        <w:spacing w:line="440" w:lineRule="exact"/>
        <w:ind w:left="0" w:firstLine="428"/>
        <w:jc w:val="both"/>
        <w:rPr>
          <w:rFonts w:ascii="宋体"/>
          <w:spacing w:val="2"/>
          <w:sz w:val="21"/>
          <w:szCs w:val="21"/>
          <w:lang w:eastAsia="zh-CN"/>
        </w:rPr>
      </w:pPr>
      <w:r>
        <w:rPr>
          <w:rFonts w:hint="eastAsia" w:ascii="宋体" w:hAnsi="宋体"/>
          <w:spacing w:val="2"/>
          <w:sz w:val="21"/>
          <w:szCs w:val="21"/>
          <w:lang w:eastAsia="zh-CN"/>
        </w:rPr>
        <w:t>在充电站建设</w:t>
      </w:r>
      <w:r>
        <w:rPr>
          <w:rFonts w:hint="eastAsia" w:ascii="宋体" w:hAnsi="宋体"/>
          <w:spacing w:val="2"/>
          <w:sz w:val="21"/>
          <w:szCs w:val="21"/>
          <w:lang w:val="en-US" w:eastAsia="zh-CN"/>
        </w:rPr>
        <w:t>或改造</w:t>
      </w:r>
      <w:r>
        <w:rPr>
          <w:rFonts w:hint="eastAsia" w:ascii="宋体" w:hAnsi="宋体"/>
          <w:spacing w:val="2"/>
          <w:sz w:val="21"/>
          <w:szCs w:val="21"/>
          <w:lang w:eastAsia="zh-CN"/>
        </w:rPr>
        <w:t>期间，甲方指定管理或技术人员配合乙方施工安装，提供施工用水、用电（水电费由乙方承担，双方另行按实结算）。</w:t>
      </w:r>
    </w:p>
    <w:p>
      <w:pPr>
        <w:pStyle w:val="16"/>
        <w:numPr>
          <w:ilvl w:val="2"/>
          <w:numId w:val="1"/>
        </w:numPr>
        <w:spacing w:line="440" w:lineRule="exact"/>
        <w:ind w:left="0" w:firstLine="428"/>
        <w:jc w:val="both"/>
        <w:rPr>
          <w:rFonts w:ascii="宋体"/>
          <w:spacing w:val="2"/>
          <w:sz w:val="21"/>
          <w:szCs w:val="21"/>
          <w:lang w:eastAsia="zh-CN"/>
        </w:rPr>
      </w:pPr>
      <w:r>
        <w:rPr>
          <w:rFonts w:hint="eastAsia" w:ascii="宋体" w:hAnsi="宋体"/>
          <w:spacing w:val="2"/>
          <w:sz w:val="21"/>
          <w:szCs w:val="21"/>
          <w:lang w:eastAsia="zh-CN"/>
        </w:rPr>
        <w:t>经甲方书面同意后，乙方可在充电站安装地点设立用于充电站指示、引导、说明的标示、标牌；但该指示需与甲方的导视系统相协调。</w:t>
      </w:r>
    </w:p>
    <w:p>
      <w:pPr>
        <w:pStyle w:val="16"/>
        <w:numPr>
          <w:ilvl w:val="2"/>
          <w:numId w:val="1"/>
        </w:numPr>
        <w:spacing w:line="440" w:lineRule="exact"/>
        <w:ind w:left="0" w:firstLine="428"/>
        <w:jc w:val="both"/>
        <w:rPr>
          <w:rFonts w:ascii="宋体"/>
          <w:spacing w:val="2"/>
          <w:sz w:val="21"/>
          <w:szCs w:val="21"/>
          <w:lang w:eastAsia="zh-CN"/>
        </w:rPr>
      </w:pPr>
      <w:r>
        <w:rPr>
          <w:rFonts w:hint="eastAsia" w:ascii="宋体" w:hAnsi="宋体"/>
          <w:spacing w:val="2"/>
          <w:sz w:val="21"/>
          <w:szCs w:val="21"/>
          <w:lang w:eastAsia="zh-CN"/>
        </w:rPr>
        <w:t>保护本合同项下乙方的知识产权，未经乙方书面同意，甲方对乙方提交的资质材料、建设方案及技术文件等资料不得复制和仿制或向第三方转让，或用于本合同以外的项目。</w:t>
      </w:r>
    </w:p>
    <w:p>
      <w:pPr>
        <w:pStyle w:val="16"/>
        <w:numPr>
          <w:ilvl w:val="2"/>
          <w:numId w:val="1"/>
        </w:numPr>
        <w:spacing w:line="440" w:lineRule="exact"/>
        <w:ind w:left="0" w:firstLine="428"/>
        <w:jc w:val="both"/>
        <w:rPr>
          <w:rFonts w:ascii="宋体"/>
          <w:spacing w:val="2"/>
          <w:sz w:val="21"/>
          <w:szCs w:val="21"/>
          <w:lang w:eastAsia="zh-CN"/>
        </w:rPr>
      </w:pPr>
      <w:r>
        <w:rPr>
          <w:rFonts w:hint="eastAsia" w:ascii="宋体" w:hAnsi="宋体"/>
          <w:spacing w:val="2"/>
          <w:sz w:val="21"/>
          <w:szCs w:val="21"/>
          <w:lang w:eastAsia="zh-CN"/>
        </w:rPr>
        <w:t>法律规定或本合同约定的其他权利义务。</w:t>
      </w:r>
    </w:p>
    <w:p>
      <w:pPr>
        <w:pStyle w:val="16"/>
        <w:spacing w:line="440" w:lineRule="exact"/>
        <w:ind w:left="426" w:firstLine="0" w:firstLineChars="0"/>
        <w:jc w:val="both"/>
        <w:rPr>
          <w:rFonts w:ascii="宋体" w:cs="黑体"/>
          <w:b/>
          <w:bCs/>
          <w:spacing w:val="2"/>
          <w:w w:val="99"/>
          <w:sz w:val="21"/>
          <w:szCs w:val="21"/>
          <w:lang w:eastAsia="zh-CN"/>
        </w:rPr>
      </w:pPr>
      <w:r>
        <w:rPr>
          <w:rFonts w:hint="eastAsia" w:ascii="宋体" w:hAnsi="宋体" w:cs="黑体"/>
          <w:b/>
          <w:bCs/>
          <w:spacing w:val="2"/>
          <w:w w:val="99"/>
          <w:sz w:val="21"/>
          <w:szCs w:val="21"/>
          <w:lang w:eastAsia="zh-CN"/>
        </w:rPr>
        <w:t>5.2.乙方权利与义务：</w:t>
      </w:r>
    </w:p>
    <w:p>
      <w:pPr>
        <w:pStyle w:val="16"/>
        <w:spacing w:line="440" w:lineRule="exact"/>
        <w:jc w:val="both"/>
        <w:rPr>
          <w:rFonts w:ascii="宋体" w:cs="黑体"/>
          <w:b/>
          <w:bCs/>
          <w:spacing w:val="2"/>
          <w:w w:val="99"/>
          <w:sz w:val="21"/>
          <w:szCs w:val="21"/>
          <w:lang w:eastAsia="zh-CN"/>
        </w:rPr>
      </w:pPr>
      <w:r>
        <w:rPr>
          <w:rFonts w:hint="eastAsia" w:ascii="宋体" w:hAnsi="宋体"/>
          <w:sz w:val="21"/>
          <w:szCs w:val="21"/>
          <w:lang w:eastAsia="zh-CN"/>
        </w:rPr>
        <w:t>5.2.1. 乙方享有充电站上由乙方投资建设的配套设施和设备的所有权</w:t>
      </w:r>
      <w:r>
        <w:rPr>
          <w:rFonts w:hint="eastAsia" w:ascii="宋体" w:hAnsi="宋体"/>
          <w:spacing w:val="-24"/>
          <w:sz w:val="21"/>
          <w:szCs w:val="21"/>
          <w:lang w:eastAsia="zh-CN"/>
        </w:rPr>
        <w:t>，</w:t>
      </w:r>
      <w:r>
        <w:rPr>
          <w:rFonts w:hint="eastAsia" w:ascii="宋体" w:hAnsi="宋体"/>
          <w:sz w:val="21"/>
          <w:szCs w:val="21"/>
          <w:lang w:eastAsia="zh-CN"/>
        </w:rPr>
        <w:t>合同到期后，如乙方不再续签，则乙方应在合同终止1</w:t>
      </w:r>
      <w:r>
        <w:rPr>
          <w:rFonts w:ascii="宋体" w:hAnsi="宋体"/>
          <w:sz w:val="21"/>
          <w:szCs w:val="21"/>
          <w:lang w:eastAsia="zh-CN"/>
        </w:rPr>
        <w:t>5</w:t>
      </w:r>
      <w:r>
        <w:rPr>
          <w:rFonts w:hint="eastAsia" w:ascii="宋体" w:hAnsi="宋体"/>
          <w:sz w:val="21"/>
          <w:szCs w:val="21"/>
          <w:lang w:eastAsia="zh-CN"/>
        </w:rPr>
        <w:t>个工作日内清退、恢复原状并返还甲方提供的区域。</w:t>
      </w:r>
    </w:p>
    <w:p>
      <w:pPr>
        <w:pStyle w:val="16"/>
        <w:spacing w:line="440" w:lineRule="exact"/>
        <w:jc w:val="both"/>
        <w:rPr>
          <w:rFonts w:ascii="宋体"/>
          <w:sz w:val="21"/>
          <w:szCs w:val="21"/>
          <w:lang w:eastAsia="zh-CN"/>
        </w:rPr>
      </w:pPr>
      <w:r>
        <w:rPr>
          <w:rFonts w:hint="eastAsia" w:ascii="宋体" w:hAnsi="宋体"/>
          <w:sz w:val="21"/>
          <w:szCs w:val="21"/>
          <w:lang w:eastAsia="zh-CN"/>
        </w:rPr>
        <w:t>5.2.2. 乙方在符合《广告法》等相关法律法规及甲方制定的广告管理制度的前提下享有在充电站设施上发布宣传、推广信息的权利，有权在充电站的建筑物、配套设施和设备上使用乙方标识及其它乙方有权使用的标识，但应事先取得甲方同意，且标识、标记需与主体环境协调、配套，乙方不得影响甲方对园区的统一管理、宣传。如需使用到甲方的相关信息，需提前取得甲方同意。因乙方设置广告引起的一切纠纷和责任，均由乙方负责处理并承担责任，若造成甲方损失的，甲方有权要求乙方赔偿全部损失。</w:t>
      </w:r>
    </w:p>
    <w:p>
      <w:pPr>
        <w:pStyle w:val="16"/>
        <w:spacing w:line="440" w:lineRule="exact"/>
        <w:jc w:val="both"/>
        <w:rPr>
          <w:rFonts w:ascii="宋体"/>
          <w:sz w:val="21"/>
          <w:szCs w:val="21"/>
          <w:lang w:eastAsia="zh-CN"/>
        </w:rPr>
      </w:pPr>
      <w:r>
        <w:rPr>
          <w:rFonts w:hint="eastAsia" w:ascii="宋体" w:hAnsi="宋体"/>
          <w:sz w:val="21"/>
          <w:szCs w:val="21"/>
          <w:lang w:eastAsia="zh-CN"/>
        </w:rPr>
        <w:t>5.2.3. 乙方可以依托充电站设施开展现场促销活动，但需遵守甲方的管理和要求。</w:t>
      </w:r>
    </w:p>
    <w:p>
      <w:pPr>
        <w:pStyle w:val="16"/>
        <w:spacing w:line="440" w:lineRule="exact"/>
        <w:jc w:val="both"/>
        <w:rPr>
          <w:rFonts w:ascii="宋体"/>
          <w:sz w:val="21"/>
          <w:szCs w:val="21"/>
          <w:lang w:eastAsia="zh-CN"/>
        </w:rPr>
      </w:pPr>
      <w:r>
        <w:rPr>
          <w:rFonts w:hint="eastAsia" w:ascii="宋体" w:hAnsi="宋体"/>
          <w:sz w:val="21"/>
          <w:szCs w:val="21"/>
          <w:lang w:eastAsia="zh-CN"/>
        </w:rPr>
        <w:t>5.2.4. 乙方按本合同约定，完成充电站的设计、制造、成套、安装和调试工作，确保安全生产、工程质量和项目各环节的施工进度。</w:t>
      </w:r>
    </w:p>
    <w:p>
      <w:pPr>
        <w:pStyle w:val="16"/>
        <w:spacing w:line="440" w:lineRule="exact"/>
        <w:jc w:val="both"/>
        <w:rPr>
          <w:rFonts w:ascii="宋体"/>
          <w:sz w:val="21"/>
          <w:szCs w:val="21"/>
          <w:lang w:eastAsia="zh-CN"/>
        </w:rPr>
      </w:pPr>
      <w:r>
        <w:rPr>
          <w:rFonts w:hint="eastAsia" w:ascii="宋体" w:hAnsi="宋体"/>
          <w:sz w:val="21"/>
          <w:szCs w:val="21"/>
          <w:lang w:eastAsia="zh-CN"/>
        </w:rPr>
        <w:t>5.2.5. 充电站内充电系统的主要原材料、电气元器件、配套件等须选用符合国家标准的产品。</w:t>
      </w:r>
    </w:p>
    <w:p>
      <w:pPr>
        <w:pStyle w:val="16"/>
        <w:spacing w:line="440" w:lineRule="exact"/>
        <w:jc w:val="both"/>
        <w:rPr>
          <w:rFonts w:ascii="宋体"/>
          <w:sz w:val="21"/>
          <w:szCs w:val="21"/>
          <w:lang w:eastAsia="zh-CN"/>
        </w:rPr>
      </w:pPr>
      <w:r>
        <w:rPr>
          <w:rFonts w:hint="eastAsia" w:ascii="宋体" w:hAnsi="宋体"/>
          <w:sz w:val="21"/>
          <w:szCs w:val="21"/>
          <w:lang w:eastAsia="zh-CN"/>
        </w:rPr>
        <w:t>5.2.6. 乙方负责充电系统后期服务以及设备维护，确保充电系统正常运行及在安全方面的可靠性，确保充电系统设施设备在场地中的整洁美观且不对第三方构成安全隐患。乙方应做好设备的防止漏电等相关安全工作，因充电系统设施设备原因造成的第三方损害，由乙方负责赔偿，与甲方无关。</w:t>
      </w:r>
    </w:p>
    <w:p>
      <w:pPr>
        <w:pStyle w:val="16"/>
        <w:spacing w:line="440" w:lineRule="exact"/>
        <w:jc w:val="both"/>
        <w:rPr>
          <w:rFonts w:ascii="宋体"/>
          <w:sz w:val="21"/>
          <w:szCs w:val="21"/>
          <w:lang w:eastAsia="zh-CN"/>
        </w:rPr>
      </w:pPr>
      <w:r>
        <w:rPr>
          <w:rFonts w:hint="eastAsia" w:ascii="宋体" w:hAnsi="宋体"/>
          <w:sz w:val="21"/>
          <w:szCs w:val="21"/>
          <w:lang w:eastAsia="zh-CN"/>
        </w:rPr>
        <w:t>5.2.7. 因非乙方原因造成的充电系统损坏或安全事故，由造成充电系统损坏或安全事故的责任者承担责任，乙方负责修复，乙方有权要求责任者承担维修费用（差旅费、劳务费、工料费等）并承担赔偿责任。由不可抗力造成的损坏，乙方自行承担。</w:t>
      </w:r>
    </w:p>
    <w:p>
      <w:pPr>
        <w:pStyle w:val="16"/>
        <w:spacing w:line="440" w:lineRule="exact"/>
        <w:jc w:val="both"/>
        <w:rPr>
          <w:rFonts w:ascii="宋体"/>
          <w:sz w:val="21"/>
          <w:szCs w:val="21"/>
          <w:lang w:eastAsia="zh-CN"/>
        </w:rPr>
      </w:pPr>
      <w:r>
        <w:rPr>
          <w:rFonts w:hint="eastAsia" w:ascii="宋体" w:hAnsi="宋体"/>
          <w:sz w:val="21"/>
          <w:szCs w:val="21"/>
          <w:lang w:eastAsia="zh-CN"/>
        </w:rPr>
        <w:t>5.2.8. 乙方在施工过程中应尽量减少破坏绿化地、和路面开挖，路面开挖需采取可靠措施确保地下管线功能和安全。若确实需要破坏，施工完必须将破坏的绿化地、路面和埋地管线修复。</w:t>
      </w:r>
    </w:p>
    <w:p>
      <w:pPr>
        <w:pStyle w:val="16"/>
        <w:spacing w:line="440" w:lineRule="exact"/>
        <w:jc w:val="both"/>
        <w:rPr>
          <w:rFonts w:ascii="宋体"/>
          <w:sz w:val="21"/>
          <w:szCs w:val="21"/>
          <w:lang w:eastAsia="zh-CN"/>
        </w:rPr>
      </w:pPr>
      <w:r>
        <w:rPr>
          <w:rFonts w:hint="eastAsia" w:ascii="宋体"/>
          <w:sz w:val="21"/>
          <w:szCs w:val="21"/>
          <w:lang w:eastAsia="zh-CN"/>
        </w:rPr>
        <w:t>5.2.9. 项目用电终止时，乙方必须结清国网电费、甲方收益等费用。</w:t>
      </w:r>
    </w:p>
    <w:p>
      <w:pPr>
        <w:pStyle w:val="16"/>
        <w:spacing w:line="440" w:lineRule="exact"/>
        <w:jc w:val="both"/>
        <w:rPr>
          <w:rFonts w:ascii="宋体"/>
          <w:sz w:val="21"/>
          <w:szCs w:val="21"/>
          <w:lang w:eastAsia="zh-CN"/>
        </w:rPr>
      </w:pPr>
      <w:r>
        <w:rPr>
          <w:rFonts w:hint="eastAsia" w:ascii="宋体"/>
          <w:sz w:val="21"/>
          <w:szCs w:val="21"/>
          <w:lang w:eastAsia="zh-CN"/>
        </w:rPr>
        <w:t>5</w:t>
      </w:r>
      <w:r>
        <w:rPr>
          <w:rFonts w:ascii="宋体"/>
          <w:sz w:val="21"/>
          <w:szCs w:val="21"/>
          <w:lang w:eastAsia="zh-CN"/>
        </w:rPr>
        <w:t>.2.10.</w:t>
      </w:r>
      <w:r>
        <w:rPr>
          <w:rFonts w:hint="eastAsia" w:ascii="宋体" w:hAnsi="宋体"/>
          <w:spacing w:val="2"/>
          <w:sz w:val="21"/>
          <w:szCs w:val="21"/>
          <w:lang w:eastAsia="zh-CN"/>
        </w:rPr>
        <w:t xml:space="preserve"> 合作期限内，甲方提供协助，由乙方完成充电桩建设、运营等相关报批报建工作。</w:t>
      </w:r>
    </w:p>
    <w:p>
      <w:pPr>
        <w:pStyle w:val="16"/>
        <w:spacing w:line="440" w:lineRule="exact"/>
        <w:ind w:left="426" w:firstLine="0" w:firstLineChars="0"/>
        <w:jc w:val="both"/>
        <w:rPr>
          <w:rFonts w:ascii="宋体" w:cs="黑体"/>
          <w:b/>
          <w:bCs/>
          <w:spacing w:val="2"/>
          <w:w w:val="99"/>
          <w:sz w:val="21"/>
          <w:szCs w:val="21"/>
          <w:lang w:eastAsia="zh-CN"/>
        </w:rPr>
      </w:pPr>
      <w:r>
        <w:rPr>
          <w:rFonts w:hint="eastAsia" w:ascii="宋体" w:hAnsi="宋体" w:cs="黑体"/>
          <w:b/>
          <w:bCs/>
          <w:spacing w:val="2"/>
          <w:w w:val="99"/>
          <w:sz w:val="21"/>
          <w:szCs w:val="21"/>
          <w:lang w:eastAsia="zh-CN"/>
        </w:rPr>
        <w:t>5.3.其他有关事项：</w:t>
      </w:r>
      <w:r>
        <w:rPr>
          <w:rFonts w:hint="eastAsia" w:ascii="宋体"/>
          <w:sz w:val="21"/>
          <w:szCs w:val="21"/>
          <w:lang w:eastAsia="zh-CN"/>
        </w:rPr>
        <w:t xml:space="preserve"> </w:t>
      </w:r>
    </w:p>
    <w:p>
      <w:pPr>
        <w:pStyle w:val="15"/>
        <w:tabs>
          <w:tab w:val="left" w:pos="1078"/>
        </w:tabs>
        <w:spacing w:line="440" w:lineRule="exact"/>
        <w:jc w:val="left"/>
        <w:rPr>
          <w:rFonts w:ascii="宋体" w:hAnsi="宋体"/>
          <w:kern w:val="0"/>
          <w:szCs w:val="21"/>
        </w:rPr>
      </w:pPr>
      <w:r>
        <w:rPr>
          <w:rFonts w:hint="eastAsia" w:ascii="宋体" w:hAnsi="宋体"/>
          <w:szCs w:val="21"/>
        </w:rPr>
        <w:t>5.3.1</w:t>
      </w:r>
      <w:r>
        <w:rPr>
          <w:rFonts w:hint="eastAsia" w:ascii="宋体"/>
          <w:szCs w:val="21"/>
        </w:rPr>
        <w:t>.</w:t>
      </w:r>
      <w:r>
        <w:rPr>
          <w:rFonts w:hint="eastAsia" w:ascii="宋体" w:hAnsi="宋体"/>
          <w:kern w:val="0"/>
          <w:szCs w:val="21"/>
        </w:rPr>
        <w:t>合作期内，如因国家政策调整、政府要求等因素导致合同无法履行的，经协商后可提前终止合同，双方互不承担责任。</w:t>
      </w:r>
    </w:p>
    <w:p>
      <w:pPr>
        <w:spacing w:line="440" w:lineRule="exact"/>
        <w:ind w:firstLine="420" w:firstLineChars="200"/>
        <w:jc w:val="both"/>
        <w:rPr>
          <w:rFonts w:ascii="宋体" w:hAnsi="宋体"/>
          <w:sz w:val="21"/>
          <w:szCs w:val="21"/>
          <w:lang w:eastAsia="zh-CN"/>
        </w:rPr>
      </w:pPr>
      <w:r>
        <w:rPr>
          <w:rFonts w:hint="eastAsia" w:ascii="宋体" w:hAnsi="宋体"/>
          <w:sz w:val="21"/>
          <w:szCs w:val="21"/>
          <w:lang w:eastAsia="zh-CN"/>
        </w:rPr>
        <w:t>5.3.</w:t>
      </w:r>
      <w:r>
        <w:rPr>
          <w:rFonts w:hint="eastAsia" w:ascii="宋体" w:hAnsi="宋体"/>
          <w:sz w:val="21"/>
          <w:szCs w:val="21"/>
          <w:lang w:val="en-US" w:eastAsia="zh-CN"/>
        </w:rPr>
        <w:t>2</w:t>
      </w:r>
      <w:r>
        <w:rPr>
          <w:rFonts w:hint="eastAsia" w:ascii="宋体" w:hAnsi="宋体"/>
          <w:sz w:val="21"/>
          <w:szCs w:val="21"/>
          <w:lang w:eastAsia="zh-CN"/>
        </w:rPr>
        <w:t>.合同终止或合作期满不再续约的，在结清所有费用后，本合同项下的所有设施、设备由乙方无条件收回。乙方应于合同到期后</w:t>
      </w:r>
      <w:r>
        <w:rPr>
          <w:rFonts w:ascii="宋体" w:hAnsi="宋体"/>
          <w:sz w:val="21"/>
          <w:szCs w:val="21"/>
          <w:lang w:eastAsia="zh-CN"/>
        </w:rPr>
        <w:t>15</w:t>
      </w:r>
      <w:r>
        <w:rPr>
          <w:rFonts w:hint="eastAsia" w:ascii="宋体" w:hAnsi="宋体"/>
          <w:sz w:val="21"/>
          <w:szCs w:val="21"/>
          <w:lang w:eastAsia="zh-CN"/>
        </w:rPr>
        <w:t>个工作日内将场地清理、恢复原状后交还甲方。</w:t>
      </w:r>
    </w:p>
    <w:p>
      <w:pPr>
        <w:pStyle w:val="16"/>
        <w:spacing w:line="440" w:lineRule="exact"/>
        <w:ind w:left="420" w:firstLine="0" w:firstLineChars="0"/>
        <w:jc w:val="distribute"/>
        <w:rPr>
          <w:rFonts w:ascii="宋体" w:hAnsi="宋体"/>
          <w:sz w:val="21"/>
          <w:szCs w:val="21"/>
          <w:lang w:eastAsia="zh-CN"/>
        </w:rPr>
      </w:pPr>
      <w:r>
        <w:rPr>
          <w:rFonts w:ascii="宋体" w:hAnsi="宋体"/>
          <w:sz w:val="21"/>
          <w:szCs w:val="21"/>
          <w:lang w:eastAsia="zh-CN"/>
        </w:rPr>
        <w:t>5.3.</w:t>
      </w:r>
      <w:r>
        <w:rPr>
          <w:rFonts w:hint="eastAsia" w:ascii="宋体" w:hAnsi="宋体"/>
          <w:sz w:val="21"/>
          <w:szCs w:val="21"/>
          <w:lang w:val="en-US" w:eastAsia="zh-CN"/>
        </w:rPr>
        <w:t>3</w:t>
      </w:r>
      <w:r>
        <w:rPr>
          <w:rFonts w:ascii="宋体" w:hAnsi="宋体"/>
          <w:sz w:val="21"/>
          <w:szCs w:val="21"/>
          <w:lang w:eastAsia="zh-CN"/>
        </w:rPr>
        <w:t>.</w:t>
      </w:r>
      <w:r>
        <w:rPr>
          <w:rFonts w:hint="eastAsia" w:ascii="宋体" w:hAnsi="宋体"/>
          <w:sz w:val="21"/>
          <w:szCs w:val="21"/>
          <w:lang w:eastAsia="zh-CN"/>
        </w:rPr>
        <w:t xml:space="preserve">政府为公用事业需要而敷设的各种管道与管线进出、通过、穿越该场地或对该场 </w:t>
      </w:r>
      <w:r>
        <w:rPr>
          <w:rFonts w:ascii="宋体" w:hAnsi="宋体"/>
          <w:sz w:val="21"/>
          <w:szCs w:val="21"/>
          <w:lang w:eastAsia="zh-CN"/>
        </w:rPr>
        <w:t xml:space="preserve"> </w:t>
      </w:r>
    </w:p>
    <w:p>
      <w:pPr>
        <w:pStyle w:val="16"/>
        <w:spacing w:line="440" w:lineRule="exact"/>
        <w:ind w:firstLine="0" w:firstLineChars="0"/>
        <w:rPr>
          <w:rFonts w:ascii="宋体" w:cs="黑体"/>
          <w:b/>
          <w:bCs/>
          <w:w w:val="99"/>
          <w:sz w:val="21"/>
          <w:szCs w:val="21"/>
        </w:rPr>
      </w:pPr>
      <w:r>
        <w:rPr>
          <w:rFonts w:hint="eastAsia" w:ascii="宋体" w:hAnsi="宋体"/>
          <w:sz w:val="21"/>
          <w:szCs w:val="21"/>
          <w:lang w:eastAsia="zh-CN"/>
        </w:rPr>
        <w:t>地进行征用时，乙方应无条件给予配合。政府保留对本合同项下宗地的城市规划调整权，原土地利用规划如有修改，该宗地已有建筑物不受影响，但在使用期限内该宗地建筑物、附着物改建、翻建、重建或期限届满申请续期时，必须按届时有效的规划执行。</w:t>
      </w:r>
    </w:p>
    <w:p>
      <w:pPr>
        <w:pStyle w:val="16"/>
        <w:spacing w:line="440" w:lineRule="exact"/>
        <w:ind w:left="420" w:firstLine="0" w:firstLineChars="0"/>
        <w:jc w:val="both"/>
        <w:rPr>
          <w:rFonts w:ascii="宋体" w:cs="黑体"/>
          <w:b/>
          <w:bCs/>
          <w:w w:val="99"/>
          <w:sz w:val="21"/>
          <w:szCs w:val="21"/>
        </w:rPr>
      </w:pPr>
      <w:r>
        <w:rPr>
          <w:rFonts w:hint="eastAsia" w:ascii="宋体" w:hAnsi="宋体" w:cs="黑体"/>
          <w:b/>
          <w:bCs/>
          <w:w w:val="99"/>
          <w:sz w:val="21"/>
          <w:szCs w:val="21"/>
          <w:lang w:eastAsia="zh-CN"/>
        </w:rPr>
        <w:t>6</w:t>
      </w:r>
      <w:r>
        <w:rPr>
          <w:rFonts w:ascii="宋体" w:hAnsi="宋体" w:cs="黑体"/>
          <w:b/>
          <w:bCs/>
          <w:w w:val="99"/>
          <w:sz w:val="21"/>
          <w:szCs w:val="21"/>
          <w:lang w:eastAsia="zh-CN"/>
        </w:rPr>
        <w:t>.</w:t>
      </w:r>
      <w:r>
        <w:rPr>
          <w:rFonts w:hint="eastAsia" w:ascii="宋体" w:hAnsi="宋体" w:cs="黑体"/>
          <w:b/>
          <w:bCs/>
          <w:w w:val="99"/>
          <w:sz w:val="21"/>
          <w:szCs w:val="21"/>
        </w:rPr>
        <w:t>违约责任</w:t>
      </w:r>
      <w:r>
        <w:rPr>
          <w:rFonts w:hint="eastAsia" w:ascii="宋体" w:hAnsi="宋体" w:cs="黑体"/>
          <w:b/>
          <w:bCs/>
          <w:w w:val="99"/>
          <w:sz w:val="21"/>
          <w:szCs w:val="21"/>
          <w:lang w:eastAsia="zh-CN"/>
        </w:rPr>
        <w:t>：</w:t>
      </w:r>
    </w:p>
    <w:p>
      <w:pPr>
        <w:pStyle w:val="16"/>
        <w:spacing w:line="440" w:lineRule="exact"/>
        <w:ind w:firstLine="428"/>
        <w:jc w:val="both"/>
        <w:rPr>
          <w:rFonts w:ascii="宋体" w:cs="黑体"/>
          <w:b/>
          <w:bCs/>
          <w:w w:val="99"/>
          <w:sz w:val="21"/>
          <w:szCs w:val="21"/>
          <w:lang w:eastAsia="zh-CN"/>
        </w:rPr>
      </w:pPr>
      <w:r>
        <w:rPr>
          <w:rFonts w:hint="eastAsia" w:ascii="宋体" w:hAnsi="宋体"/>
          <w:spacing w:val="2"/>
          <w:sz w:val="21"/>
          <w:szCs w:val="21"/>
          <w:lang w:eastAsia="zh-CN"/>
        </w:rPr>
        <w:t>6.1甲、乙双方各自承担对另外一方商业秘密的保密义务</w:t>
      </w:r>
      <w:r>
        <w:rPr>
          <w:rFonts w:hint="eastAsia" w:ascii="宋体" w:hAnsi="宋体"/>
          <w:sz w:val="21"/>
          <w:szCs w:val="21"/>
          <w:lang w:eastAsia="zh-CN"/>
        </w:rPr>
        <w:t>，</w:t>
      </w:r>
      <w:r>
        <w:rPr>
          <w:rFonts w:hint="eastAsia" w:ascii="宋体" w:hAnsi="宋体"/>
          <w:spacing w:val="2"/>
          <w:sz w:val="21"/>
          <w:szCs w:val="21"/>
          <w:lang w:eastAsia="zh-CN"/>
        </w:rPr>
        <w:t>商业秘密包括</w:t>
      </w:r>
      <w:r>
        <w:rPr>
          <w:rFonts w:hint="eastAsia" w:ascii="宋体" w:hAnsi="宋体"/>
          <w:spacing w:val="4"/>
          <w:sz w:val="21"/>
          <w:szCs w:val="21"/>
          <w:lang w:eastAsia="zh-CN"/>
        </w:rPr>
        <w:t>：</w:t>
      </w:r>
      <w:r>
        <w:rPr>
          <w:rFonts w:hint="eastAsia" w:ascii="宋体" w:hAnsi="宋体"/>
          <w:spacing w:val="2"/>
          <w:sz w:val="21"/>
          <w:szCs w:val="21"/>
          <w:lang w:eastAsia="zh-CN"/>
        </w:rPr>
        <w:t>本合</w:t>
      </w:r>
      <w:r>
        <w:rPr>
          <w:rFonts w:hint="eastAsia" w:ascii="宋体" w:hAnsi="宋体"/>
          <w:sz w:val="21"/>
          <w:szCs w:val="21"/>
          <w:lang w:eastAsia="zh-CN"/>
        </w:rPr>
        <w:t>同</w:t>
      </w:r>
      <w:r>
        <w:rPr>
          <w:rFonts w:hint="eastAsia" w:ascii="宋体" w:hAnsi="宋体"/>
          <w:spacing w:val="2"/>
          <w:sz w:val="21"/>
          <w:szCs w:val="21"/>
          <w:lang w:eastAsia="zh-CN"/>
        </w:rPr>
        <w:t>所</w:t>
      </w:r>
      <w:r>
        <w:rPr>
          <w:rFonts w:hint="eastAsia" w:ascii="宋体" w:hAnsi="宋体"/>
          <w:spacing w:val="3"/>
          <w:sz w:val="21"/>
          <w:szCs w:val="21"/>
          <w:lang w:eastAsia="zh-CN"/>
        </w:rPr>
        <w:t>述</w:t>
      </w:r>
      <w:r>
        <w:rPr>
          <w:rFonts w:hint="eastAsia" w:ascii="宋体" w:hAnsi="宋体"/>
          <w:spacing w:val="2"/>
          <w:sz w:val="21"/>
          <w:szCs w:val="21"/>
          <w:lang w:eastAsia="zh-CN"/>
        </w:rPr>
        <w:t>的合</w:t>
      </w:r>
      <w:r>
        <w:rPr>
          <w:rFonts w:hint="eastAsia" w:ascii="宋体" w:hAnsi="宋体"/>
          <w:sz w:val="21"/>
          <w:szCs w:val="21"/>
          <w:lang w:eastAsia="zh-CN"/>
        </w:rPr>
        <w:t>作内</w:t>
      </w:r>
      <w:r>
        <w:rPr>
          <w:rFonts w:hint="eastAsia" w:ascii="宋体" w:hAnsi="宋体"/>
          <w:spacing w:val="-1"/>
          <w:sz w:val="21"/>
          <w:szCs w:val="21"/>
          <w:lang w:eastAsia="zh-CN"/>
        </w:rPr>
        <w:t>容和充电平台相关信息</w:t>
      </w:r>
      <w:r>
        <w:rPr>
          <w:rFonts w:hint="eastAsia" w:ascii="宋体" w:hAnsi="宋体"/>
          <w:spacing w:val="-24"/>
          <w:sz w:val="21"/>
          <w:szCs w:val="21"/>
          <w:lang w:eastAsia="zh-CN"/>
        </w:rPr>
        <w:t>，</w:t>
      </w:r>
      <w:r>
        <w:rPr>
          <w:rFonts w:hint="eastAsia" w:ascii="宋体" w:hAnsi="宋体"/>
          <w:sz w:val="21"/>
          <w:szCs w:val="21"/>
          <w:lang w:eastAsia="zh-CN"/>
        </w:rPr>
        <w:t>非经书面许可在任何时候均不得向第三方披露另外一方的商业秘密</w:t>
      </w:r>
      <w:r>
        <w:rPr>
          <w:rFonts w:hint="eastAsia" w:ascii="宋体" w:hAnsi="宋体"/>
          <w:spacing w:val="-24"/>
          <w:sz w:val="21"/>
          <w:szCs w:val="21"/>
          <w:lang w:eastAsia="zh-CN"/>
        </w:rPr>
        <w:t>。</w:t>
      </w:r>
      <w:r>
        <w:rPr>
          <w:rFonts w:hint="eastAsia" w:ascii="宋体" w:hAnsi="宋体"/>
          <w:sz w:val="21"/>
          <w:szCs w:val="21"/>
          <w:lang w:eastAsia="zh-CN"/>
        </w:rPr>
        <w:t>若</w:t>
      </w:r>
      <w:r>
        <w:rPr>
          <w:rFonts w:hint="eastAsia" w:ascii="宋体" w:hAnsi="宋体"/>
          <w:spacing w:val="2"/>
          <w:sz w:val="21"/>
          <w:szCs w:val="21"/>
          <w:lang w:eastAsia="zh-CN"/>
        </w:rPr>
        <w:t>违反本条规定，责任方应全额赔偿对方因此遭受的全部直接损失。</w:t>
      </w:r>
      <w:r>
        <w:rPr>
          <w:rFonts w:hint="eastAsia" w:ascii="宋体"/>
          <w:spacing w:val="2"/>
          <w:sz w:val="21"/>
          <w:szCs w:val="21"/>
          <w:lang w:eastAsia="zh-CN"/>
        </w:rPr>
        <w:t xml:space="preserve"> </w:t>
      </w:r>
    </w:p>
    <w:p>
      <w:pPr>
        <w:pStyle w:val="16"/>
        <w:spacing w:line="440" w:lineRule="exact"/>
        <w:ind w:firstLine="428"/>
        <w:jc w:val="both"/>
        <w:rPr>
          <w:rFonts w:ascii="宋体"/>
          <w:spacing w:val="2"/>
          <w:sz w:val="21"/>
          <w:szCs w:val="21"/>
          <w:lang w:eastAsia="zh-CN"/>
        </w:rPr>
      </w:pPr>
      <w:r>
        <w:rPr>
          <w:rFonts w:hint="eastAsia" w:ascii="宋体" w:hAnsi="宋体"/>
          <w:spacing w:val="2"/>
          <w:sz w:val="21"/>
          <w:szCs w:val="21"/>
          <w:lang w:eastAsia="zh-CN"/>
        </w:rPr>
        <w:t>6.2因违约造成的损失，由违约方向守约方承担赔偿责任，赔偿的范围包括守约方因违约行为支付的律师费、诉讼费、仲裁费、公告费、保全费及保全保险费、调查取证费、差旅费及其他为获得违约赔偿支出的一切费用。</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6.3乙方应按本合同约定及时足额向甲方支付费用，每逾期一天，乙方按欠付费用的万分之三支付违约金。</w:t>
      </w:r>
    </w:p>
    <w:p>
      <w:pPr>
        <w:pStyle w:val="16"/>
        <w:numPr>
          <w:ilvl w:val="0"/>
          <w:numId w:val="2"/>
        </w:numPr>
        <w:spacing w:line="288" w:lineRule="auto"/>
        <w:ind w:left="0" w:firstLine="418"/>
        <w:jc w:val="both"/>
        <w:rPr>
          <w:rFonts w:ascii="宋体" w:cs="黑体"/>
          <w:b/>
          <w:bCs/>
          <w:w w:val="99"/>
          <w:sz w:val="21"/>
          <w:szCs w:val="21"/>
          <w:lang w:eastAsia="zh-CN"/>
        </w:rPr>
      </w:pPr>
      <w:r>
        <w:rPr>
          <w:rFonts w:hint="eastAsia" w:ascii="宋体" w:hAnsi="宋体" w:cs="黑体"/>
          <w:b/>
          <w:bCs/>
          <w:w w:val="99"/>
          <w:sz w:val="21"/>
          <w:szCs w:val="21"/>
          <w:lang w:eastAsia="zh-CN"/>
        </w:rPr>
        <w:t>合同争议</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7.1本合同如有争议及异议，双方应通过协商解决，如协商不成，提交甲方所在地人民法院诉讼解决；</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7.2合同未涉及的部分，均按合同履约过程中现行有效的法律的有关规定执行。</w:t>
      </w:r>
    </w:p>
    <w:p>
      <w:pPr>
        <w:pStyle w:val="16"/>
        <w:numPr>
          <w:ilvl w:val="0"/>
          <w:numId w:val="2"/>
        </w:numPr>
        <w:spacing w:line="288" w:lineRule="auto"/>
        <w:ind w:left="0" w:firstLine="418"/>
        <w:jc w:val="both"/>
        <w:rPr>
          <w:rFonts w:ascii="宋体" w:cs="黑体"/>
          <w:b/>
          <w:bCs/>
          <w:w w:val="99"/>
          <w:sz w:val="21"/>
          <w:szCs w:val="21"/>
          <w:lang w:eastAsia="zh-CN"/>
        </w:rPr>
      </w:pPr>
      <w:r>
        <w:rPr>
          <w:rFonts w:hint="eastAsia" w:ascii="宋体" w:hAnsi="宋体" w:cs="黑体"/>
          <w:b/>
          <w:bCs/>
          <w:w w:val="99"/>
          <w:sz w:val="21"/>
          <w:szCs w:val="21"/>
          <w:lang w:eastAsia="zh-CN"/>
        </w:rPr>
        <w:t>不可抗力条件</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8.1本合同定义不可抗力条件为战争、地震、严重的水灾、台风、火灾、雷灾以及其他双方同意的人力不可抗拒的超自然因素。</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8.2任何一方因不可抗力以致不能完全履行本合同项下的义务时，将按法律规定免除其不履约或因此延期履约的责任。</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8.3因为不可抗力导致技术故障，进而影响服务的不能履行或履行延误，从而导致消费者理解错误而造成的任何损失，双方互不承担责任，自行承担各自损失。</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8.4不可抗力事件发生后的合同履约或延期履约间隔，由双方根据实际情况另行商定。</w:t>
      </w:r>
    </w:p>
    <w:p>
      <w:pPr>
        <w:pStyle w:val="16"/>
        <w:numPr>
          <w:ilvl w:val="0"/>
          <w:numId w:val="2"/>
        </w:numPr>
        <w:spacing w:line="288" w:lineRule="auto"/>
        <w:ind w:left="0" w:firstLine="418"/>
        <w:jc w:val="both"/>
        <w:rPr>
          <w:rFonts w:ascii="宋体" w:cs="黑体"/>
          <w:b/>
          <w:bCs/>
          <w:w w:val="99"/>
          <w:sz w:val="21"/>
          <w:szCs w:val="21"/>
          <w:lang w:eastAsia="zh-CN"/>
        </w:rPr>
      </w:pPr>
      <w:r>
        <w:rPr>
          <w:rFonts w:hint="eastAsia" w:ascii="宋体" w:hAnsi="宋体" w:cs="黑体"/>
          <w:b/>
          <w:bCs/>
          <w:w w:val="99"/>
          <w:sz w:val="21"/>
          <w:szCs w:val="21"/>
          <w:lang w:eastAsia="zh-CN"/>
        </w:rPr>
        <w:t>其他</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9.1本合同生效后，任何一方提出不与本合同相抵触的修改时，经双方协商一致后，可签订补充协议，补充协议与本合同具有同等效力。本合同及其合同附件，均为不可分割的组成部分，具有同等法律效力。</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9.2本合同经双方盖章</w:t>
      </w:r>
      <w:r>
        <w:rPr>
          <w:rFonts w:hint="eastAsia" w:ascii="宋体" w:hAnsi="宋体"/>
          <w:spacing w:val="2"/>
          <w:sz w:val="21"/>
          <w:szCs w:val="21"/>
          <w:lang w:val="en-US" w:eastAsia="zh-CN"/>
        </w:rPr>
        <w:t>之日起</w:t>
      </w:r>
      <w:r>
        <w:rPr>
          <w:rFonts w:hint="eastAsia" w:ascii="宋体" w:hAnsi="宋体"/>
          <w:spacing w:val="2"/>
          <w:sz w:val="21"/>
          <w:szCs w:val="21"/>
          <w:lang w:eastAsia="zh-CN"/>
        </w:rPr>
        <w:t>生效。</w:t>
      </w:r>
    </w:p>
    <w:p>
      <w:pPr>
        <w:pStyle w:val="16"/>
        <w:spacing w:line="440" w:lineRule="exact"/>
        <w:ind w:firstLine="428"/>
        <w:jc w:val="both"/>
        <w:rPr>
          <w:rFonts w:ascii="宋体" w:hAnsi="宋体"/>
          <w:spacing w:val="2"/>
          <w:sz w:val="21"/>
          <w:szCs w:val="21"/>
          <w:lang w:eastAsia="zh-CN"/>
        </w:rPr>
      </w:pPr>
      <w:r>
        <w:rPr>
          <w:rFonts w:hint="eastAsia" w:ascii="宋体" w:hAnsi="宋体"/>
          <w:spacing w:val="2"/>
          <w:sz w:val="21"/>
          <w:szCs w:val="21"/>
          <w:lang w:eastAsia="zh-CN"/>
        </w:rPr>
        <w:t>9.3本合同一式</w:t>
      </w:r>
      <w:r>
        <w:rPr>
          <w:rFonts w:hint="eastAsia" w:ascii="宋体" w:hAnsi="宋体"/>
          <w:spacing w:val="2"/>
          <w:sz w:val="21"/>
          <w:szCs w:val="21"/>
          <w:lang w:val="en-US" w:eastAsia="zh-CN"/>
        </w:rPr>
        <w:t>肆</w:t>
      </w:r>
      <w:r>
        <w:rPr>
          <w:rFonts w:hint="eastAsia" w:ascii="宋体" w:hAnsi="宋体"/>
          <w:spacing w:val="2"/>
          <w:sz w:val="21"/>
          <w:szCs w:val="21"/>
          <w:lang w:eastAsia="zh-CN"/>
        </w:rPr>
        <w:t>份，甲、乙各执</w:t>
      </w:r>
      <w:r>
        <w:rPr>
          <w:rFonts w:hint="eastAsia" w:ascii="宋体" w:hAnsi="宋体"/>
          <w:spacing w:val="2"/>
          <w:sz w:val="21"/>
          <w:szCs w:val="21"/>
          <w:lang w:val="en-US" w:eastAsia="zh-CN"/>
        </w:rPr>
        <w:t>贰</w:t>
      </w:r>
      <w:r>
        <w:rPr>
          <w:rFonts w:hint="eastAsia" w:ascii="宋体" w:hAnsi="宋体"/>
          <w:spacing w:val="2"/>
          <w:sz w:val="21"/>
          <w:szCs w:val="21"/>
          <w:lang w:eastAsia="zh-CN"/>
        </w:rPr>
        <w:t>份，具有同等法律效力。</w:t>
      </w:r>
    </w:p>
    <w:p>
      <w:pPr>
        <w:pStyle w:val="17"/>
        <w:tabs>
          <w:tab w:val="left" w:pos="1078"/>
        </w:tabs>
        <w:spacing w:line="288" w:lineRule="auto"/>
        <w:rPr>
          <w:rFonts w:ascii="宋体" w:hAnsi="宋体"/>
          <w:kern w:val="0"/>
          <w:szCs w:val="21"/>
        </w:rPr>
      </w:pPr>
      <w:r>
        <w:rPr>
          <w:rFonts w:hint="eastAsia" w:ascii="宋体" w:hAnsi="宋体"/>
          <w:kern w:val="0"/>
          <w:szCs w:val="21"/>
        </w:rPr>
        <w:t>（以下无正文）</w:t>
      </w:r>
    </w:p>
    <w:p>
      <w:pPr>
        <w:pStyle w:val="17"/>
        <w:tabs>
          <w:tab w:val="left" w:pos="1078"/>
        </w:tabs>
        <w:spacing w:line="288" w:lineRule="auto"/>
        <w:rPr>
          <w:rFonts w:ascii="宋体"/>
          <w:kern w:val="0"/>
          <w:szCs w:val="21"/>
        </w:rPr>
      </w:pPr>
    </w:p>
    <w:p>
      <w:pPr>
        <w:pStyle w:val="3"/>
        <w:spacing w:line="440" w:lineRule="exact"/>
        <w:rPr>
          <w:spacing w:val="2"/>
          <w:sz w:val="21"/>
          <w:szCs w:val="21"/>
          <w:lang w:eastAsia="zh-CN"/>
        </w:rPr>
      </w:pPr>
      <w:r>
        <w:rPr>
          <w:rFonts w:hint="eastAsia"/>
          <w:spacing w:val="2"/>
          <w:sz w:val="21"/>
          <w:szCs w:val="21"/>
          <w:lang w:eastAsia="zh-CN"/>
        </w:rPr>
        <w:t xml:space="preserve">甲方（盖章）： </w:t>
      </w:r>
      <w:r>
        <w:rPr>
          <w:spacing w:val="2"/>
          <w:sz w:val="21"/>
          <w:szCs w:val="21"/>
          <w:lang w:eastAsia="zh-CN"/>
        </w:rPr>
        <w:t xml:space="preserve">                              </w:t>
      </w:r>
      <w:r>
        <w:rPr>
          <w:rFonts w:hint="eastAsia"/>
          <w:spacing w:val="2"/>
          <w:sz w:val="21"/>
          <w:szCs w:val="21"/>
          <w:lang w:eastAsia="zh-CN"/>
        </w:rPr>
        <w:t>乙方（盖章）：</w:t>
      </w:r>
    </w:p>
    <w:p>
      <w:pPr>
        <w:pStyle w:val="3"/>
        <w:spacing w:line="440" w:lineRule="exact"/>
        <w:rPr>
          <w:spacing w:val="2"/>
          <w:sz w:val="21"/>
          <w:szCs w:val="21"/>
          <w:lang w:eastAsia="zh-CN"/>
        </w:rPr>
      </w:pPr>
      <w:r>
        <w:rPr>
          <w:rFonts w:hint="eastAsia"/>
          <w:sz w:val="21"/>
          <w:szCs w:val="21"/>
          <w:lang w:eastAsia="zh-CN"/>
        </w:rPr>
        <w:t>厦门火炬</w:t>
      </w:r>
      <w:r>
        <w:rPr>
          <w:rFonts w:hint="eastAsia"/>
          <w:sz w:val="21"/>
          <w:szCs w:val="21"/>
          <w:lang w:val="en-US" w:eastAsia="zh-CN"/>
        </w:rPr>
        <w:t>高新区招商服务中心</w:t>
      </w:r>
      <w:r>
        <w:rPr>
          <w:rFonts w:hint="eastAsia"/>
          <w:sz w:val="21"/>
          <w:szCs w:val="21"/>
          <w:lang w:eastAsia="zh-CN"/>
        </w:rPr>
        <w:t>有限公司</w:t>
      </w:r>
      <w:r>
        <w:rPr>
          <w:rFonts w:hint="eastAsia"/>
          <w:spacing w:val="2"/>
          <w:sz w:val="21"/>
          <w:szCs w:val="21"/>
          <w:lang w:eastAsia="zh-CN"/>
        </w:rPr>
        <w:t xml:space="preserve">    </w:t>
      </w:r>
      <w:r>
        <w:rPr>
          <w:spacing w:val="2"/>
          <w:sz w:val="21"/>
          <w:szCs w:val="21"/>
          <w:lang w:eastAsia="zh-CN"/>
        </w:rPr>
        <w:t xml:space="preserve">        </w:t>
      </w:r>
      <w:r>
        <w:rPr>
          <w:rFonts w:hint="eastAsia"/>
          <w:spacing w:val="2"/>
          <w:sz w:val="21"/>
          <w:szCs w:val="21"/>
          <w:lang w:eastAsia="zh-CN"/>
        </w:rPr>
        <w:t xml:space="preserve">          </w:t>
      </w:r>
    </w:p>
    <w:p>
      <w:pPr>
        <w:spacing w:line="440" w:lineRule="exact"/>
        <w:rPr>
          <w:rFonts w:ascii="宋体" w:hAnsi="宋体"/>
          <w:b/>
          <w:bCs/>
          <w:spacing w:val="2"/>
          <w:sz w:val="21"/>
          <w:szCs w:val="21"/>
          <w:lang w:eastAsia="zh-CN"/>
        </w:rPr>
      </w:pPr>
    </w:p>
    <w:p>
      <w:pPr>
        <w:spacing w:line="440" w:lineRule="exact"/>
        <w:rPr>
          <w:rFonts w:hint="eastAsia" w:ascii="宋体" w:hAnsi="宋体"/>
          <w:b/>
          <w:bCs/>
          <w:spacing w:val="2"/>
          <w:sz w:val="21"/>
          <w:szCs w:val="21"/>
          <w:lang w:eastAsia="zh-CN"/>
        </w:rPr>
      </w:pPr>
      <w:r>
        <w:rPr>
          <w:rFonts w:hint="eastAsia" w:ascii="宋体" w:hAnsi="宋体"/>
          <w:b/>
          <w:bCs/>
          <w:spacing w:val="2"/>
          <w:sz w:val="21"/>
          <w:szCs w:val="21"/>
          <w:lang w:eastAsia="zh-CN"/>
        </w:rPr>
        <w:t>本合同签订时间：    年   月   日</w:t>
      </w:r>
    </w:p>
    <w:p>
      <w:pPr>
        <w:spacing w:line="240" w:lineRule="auto"/>
        <w:rPr>
          <w:rFonts w:hint="eastAsia" w:ascii="宋体" w:hAnsi="宋体"/>
          <w:b/>
          <w:bCs/>
          <w:spacing w:val="2"/>
          <w:sz w:val="21"/>
          <w:szCs w:val="21"/>
          <w:lang w:eastAsia="zh-CN"/>
        </w:rPr>
      </w:pPr>
      <w:r>
        <w:rPr>
          <w:rFonts w:hint="eastAsia" w:ascii="宋体" w:hAnsi="宋体"/>
          <w:b/>
          <w:bCs/>
          <w:spacing w:val="2"/>
          <w:sz w:val="21"/>
          <w:szCs w:val="21"/>
          <w:lang w:eastAsia="zh-CN"/>
        </w:rPr>
        <w:br w:type="page"/>
      </w:r>
    </w:p>
    <w:p>
      <w:pPr>
        <w:spacing w:line="36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lang w:eastAsia="zh-CN"/>
        </w:rPr>
        <w:t>：</w:t>
      </w:r>
    </w:p>
    <w:p>
      <w:pPr>
        <w:spacing w:line="360" w:lineRule="auto"/>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企业安全管理协议书</w:t>
      </w:r>
    </w:p>
    <w:p>
      <w:pPr>
        <w:spacing w:line="360" w:lineRule="auto"/>
        <w:rPr>
          <w:rFonts w:hint="eastAsia" w:asciiTheme="minorEastAsia" w:hAnsiTheme="minorEastAsia" w:eastAsiaTheme="minorEastAsia" w:cstheme="minorEastAsia"/>
          <w:b/>
          <w:bCs/>
          <w:sz w:val="22"/>
        </w:rPr>
      </w:pP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根据《中华人民共和国安全生产法》《中华人民共和国消防法》等法律、法规规定，为加强安全管理工作，确保</w:t>
      </w:r>
      <w:r>
        <w:rPr>
          <w:rFonts w:hint="eastAsia" w:asciiTheme="minorEastAsia" w:hAnsiTheme="minorEastAsia" w:eastAsiaTheme="minorEastAsia" w:cstheme="minorEastAsia"/>
          <w:b w:val="0"/>
          <w:bCs w:val="0"/>
          <w:sz w:val="21"/>
          <w:szCs w:val="21"/>
          <w:lang w:eastAsia="zh-CN"/>
        </w:rPr>
        <w:t>甲乙</w:t>
      </w:r>
      <w:r>
        <w:rPr>
          <w:rFonts w:hint="eastAsia" w:asciiTheme="minorEastAsia" w:hAnsiTheme="minorEastAsia" w:eastAsiaTheme="minorEastAsia" w:cstheme="minorEastAsia"/>
          <w:b w:val="0"/>
          <w:bCs w:val="0"/>
          <w:sz w:val="21"/>
          <w:szCs w:val="21"/>
        </w:rPr>
        <w:t>双方的生命财产安全及公共安全，明确双方的责任及义务，认真贯彻执行“安全第一、预防为主、综合治理”的方针，经甲乙双方共同协商，特签订本协议，共同遵照执行。</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一、乙方在《</w:t>
      </w:r>
      <w:r>
        <w:rPr>
          <w:rFonts w:hint="eastAsia" w:asciiTheme="minorEastAsia" w:hAnsiTheme="minorEastAsia" w:eastAsiaTheme="minorEastAsia" w:cstheme="minorEastAsia"/>
          <w:sz w:val="21"/>
          <w:szCs w:val="21"/>
        </w:rPr>
        <w:t>厦门火炬东部孵化园停车场集中配套新能源汽车充电站合作合同</w:t>
      </w:r>
      <w:r>
        <w:rPr>
          <w:rFonts w:hint="eastAsia" w:asciiTheme="minorEastAsia" w:hAnsiTheme="minorEastAsia" w:eastAsiaTheme="minorEastAsia" w:cstheme="minorEastAsia"/>
          <w:b w:val="0"/>
          <w:bCs w:val="0"/>
          <w:sz w:val="21"/>
          <w:szCs w:val="21"/>
        </w:rPr>
        <w:t>》签订前，应考察现场，并核实</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设计类别、荷载、消防验收证明、用途等资料或数据，充分评估建筑、结构、消防设施等。乙方确认</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满足乙方安全经营需要，甲方按现状移交，乙方承诺不会超设计范围、约定用途使用</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二、乙方应按规定办理安全经营相关手续，并按照国家有关安全、消防、环保等法律法规要求进行改造及提升，不得破坏</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建筑及结构安全，完工后必须经过消防、环保等部门验收合格才能使用；因未办理相关手续产生的后续问题由乙方全部负责，因此造成的一切损失及费用，均由乙方承担。乙方在经营过程中发现</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无法满足安全要求时，应向甲方申请解除</w:t>
      </w:r>
      <w:r>
        <w:rPr>
          <w:rFonts w:hint="eastAsia" w:asciiTheme="minorEastAsia" w:hAnsiTheme="minorEastAsia" w:eastAsiaTheme="minorEastAsia" w:cstheme="minorEastAsia"/>
          <w:b w:val="0"/>
          <w:bCs w:val="0"/>
          <w:sz w:val="21"/>
          <w:szCs w:val="21"/>
          <w:lang w:val="en-US" w:eastAsia="zh-CN"/>
        </w:rPr>
        <w:t>合作</w:t>
      </w:r>
      <w:r>
        <w:rPr>
          <w:rFonts w:hint="eastAsia" w:asciiTheme="minorEastAsia" w:hAnsiTheme="minorEastAsia" w:eastAsiaTheme="minorEastAsia" w:cstheme="minorEastAsia"/>
          <w:b w:val="0"/>
          <w:bCs w:val="0"/>
          <w:sz w:val="21"/>
          <w:szCs w:val="21"/>
        </w:rPr>
        <w:t>合同并提供相关说明及材料，经甲方同意后，可解除《</w:t>
      </w:r>
      <w:r>
        <w:rPr>
          <w:rFonts w:hint="eastAsia" w:asciiTheme="minorEastAsia" w:hAnsiTheme="minorEastAsia" w:eastAsiaTheme="minorEastAsia" w:cstheme="minorEastAsia"/>
          <w:b w:val="0"/>
          <w:bCs w:val="0"/>
          <w:sz w:val="21"/>
          <w:szCs w:val="21"/>
          <w:lang w:val="en-US" w:eastAsia="zh-CN"/>
        </w:rPr>
        <w:t>合作</w:t>
      </w:r>
      <w:r>
        <w:rPr>
          <w:rFonts w:hint="eastAsia" w:asciiTheme="minorEastAsia" w:hAnsiTheme="minorEastAsia" w:eastAsiaTheme="minorEastAsia" w:cstheme="minorEastAsia"/>
          <w:b w:val="0"/>
          <w:bCs w:val="0"/>
          <w:sz w:val="21"/>
          <w:szCs w:val="21"/>
        </w:rPr>
        <w:t>合同》，双方互不追究违约责任，甲方不赔偿乙方已投入的装修及其他费用，乙方按照《</w:t>
      </w:r>
      <w:r>
        <w:rPr>
          <w:rFonts w:hint="eastAsia" w:asciiTheme="minorEastAsia" w:hAnsiTheme="minorEastAsia" w:eastAsiaTheme="minorEastAsia" w:cstheme="minorEastAsia"/>
          <w:b w:val="0"/>
          <w:bCs w:val="0"/>
          <w:sz w:val="21"/>
          <w:szCs w:val="21"/>
          <w:lang w:val="en-US" w:eastAsia="zh-CN"/>
        </w:rPr>
        <w:t>合作</w:t>
      </w:r>
      <w:r>
        <w:rPr>
          <w:rFonts w:hint="eastAsia" w:asciiTheme="minorEastAsia" w:hAnsiTheme="minorEastAsia" w:eastAsiaTheme="minorEastAsia" w:cstheme="minorEastAsia"/>
          <w:b w:val="0"/>
          <w:bCs w:val="0"/>
          <w:sz w:val="21"/>
          <w:szCs w:val="21"/>
        </w:rPr>
        <w:t>合同》相关条款办理</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的移交。</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乙方应具备有关法律、行政法规和国家标准或行业标准规定的安全条件，不具备安全条件的，不得在园区内从事经营活动。因乙方不具备安全条件或乙方违反本协议任一约定，且经甲方两次以上通知要求限期整改未整改完成的，甲方有权解除合同，乙方的责任按《</w:t>
      </w:r>
      <w:r>
        <w:rPr>
          <w:rFonts w:hint="eastAsia" w:asciiTheme="minorEastAsia" w:hAnsiTheme="minorEastAsia" w:eastAsiaTheme="minorEastAsia" w:cstheme="minorEastAsia"/>
          <w:b w:val="0"/>
          <w:bCs w:val="0"/>
          <w:sz w:val="21"/>
          <w:szCs w:val="21"/>
          <w:lang w:eastAsia="zh-CN"/>
        </w:rPr>
        <w:t>合作合同</w:t>
      </w:r>
      <w:r>
        <w:rPr>
          <w:rFonts w:hint="eastAsia" w:asciiTheme="minorEastAsia" w:hAnsiTheme="minorEastAsia" w:eastAsiaTheme="minorEastAsia" w:cstheme="minorEastAsia"/>
          <w:b w:val="0"/>
          <w:bCs w:val="0"/>
          <w:sz w:val="21"/>
          <w:szCs w:val="21"/>
        </w:rPr>
        <w:t>》及本协议的约定处理。</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四、在同一作业区内，若有两个以上经营单位进行经营活动的，可能危及安全的，由甲方或甲方委托的物业管理公司监督该作业区域内的经营单位签订安全管理协议，明确各自的安全职责和应采取的安全措施，并指定专职安全管理人员进行安全检查与协调。乙方应主动告知甲方、相邻方生产经营中的可能存在的危险源等。不服从管理或隐瞒不告知危险源的，由此产生的安全责任由乙方负责。</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五、甲方或甲方委托的物业管理公司有权对乙方在本协议项下的安全经营活动进行日常监督及管理。</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六、乙方及乙方的主要负责人是</w:t>
      </w:r>
      <w:r>
        <w:rPr>
          <w:rFonts w:hint="eastAsia" w:asciiTheme="minorEastAsia" w:hAnsiTheme="minorEastAsia" w:eastAsiaTheme="minorEastAsia" w:cstheme="minorEastAsia"/>
          <w:b w:val="0"/>
          <w:bCs w:val="0"/>
          <w:sz w:val="21"/>
          <w:szCs w:val="21"/>
          <w:lang w:val="en-US" w:eastAsia="zh-CN"/>
        </w:rPr>
        <w:t>业务</w:t>
      </w:r>
      <w:r>
        <w:rPr>
          <w:rFonts w:hint="eastAsia" w:asciiTheme="minorEastAsia" w:hAnsiTheme="minorEastAsia" w:eastAsiaTheme="minorEastAsia" w:cstheme="minorEastAsia"/>
          <w:b w:val="0"/>
          <w:bCs w:val="0"/>
          <w:sz w:val="21"/>
          <w:szCs w:val="21"/>
        </w:rPr>
        <w:t>范围内的安全责任主体及第一责任单位，必须全面负责</w:t>
      </w:r>
      <w:r>
        <w:rPr>
          <w:rFonts w:hint="eastAsia" w:asciiTheme="minorEastAsia" w:hAnsiTheme="minorEastAsia" w:eastAsiaTheme="minorEastAsia" w:cstheme="minorEastAsia"/>
          <w:b w:val="0"/>
          <w:bCs w:val="0"/>
          <w:sz w:val="21"/>
          <w:szCs w:val="21"/>
          <w:lang w:val="en-US" w:eastAsia="zh-CN"/>
        </w:rPr>
        <w:t>业务</w:t>
      </w:r>
      <w:r>
        <w:rPr>
          <w:rFonts w:hint="eastAsia" w:asciiTheme="minorEastAsia" w:hAnsiTheme="minorEastAsia" w:eastAsiaTheme="minorEastAsia" w:cstheme="minorEastAsia"/>
          <w:b w:val="0"/>
          <w:bCs w:val="0"/>
          <w:sz w:val="21"/>
          <w:szCs w:val="21"/>
        </w:rPr>
        <w:t>范围内的安全管理、消防管理、环境保护等工作，并承诺遵守以下安全管理、消防管理、环境保护等约定以及法律、法规的要求：</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（一）安全管理方面</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（1）建立、健全并落实本单位全员安全责任制，加强安全标准化建设。</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（2）组织制定本单位安全规章制度和操作规程。</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（3）组织制定并实施本单位的安全教育和培训计划。</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（4）组织建立并实施安全风险分级管控和隐患排查治理双重预防工作机制，检查本单位的安全工作，及时消除安全事故隐患。</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（5）组织制定并实施本单位的安全事故应急预案。</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（6）及时、如实向有关各方报告安全事故，不得迟报、瞒报、谎报。</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（7）按照国家有关规定，设置安全管理机构或配备安全管理人员（专职或兼职）。</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主要负责人和安全管理人员，须具备与所从事的生产经营活动相适应的安全知识和管理能力，接受培训，做到持证上岗。针对自身的生产经营特点加强从业人员安全经营、特种设备安全使用的日常教育和培训，满足规定的学时，考核合格，</w:t>
      </w:r>
      <w:r>
        <w:rPr>
          <w:rFonts w:hint="eastAsia" w:asciiTheme="minorEastAsia" w:hAnsiTheme="minorEastAsia" w:eastAsiaTheme="minorEastAsia" w:cstheme="minorEastAsia"/>
          <w:b w:val="0"/>
          <w:bCs w:val="0"/>
          <w:sz w:val="21"/>
          <w:szCs w:val="21"/>
          <w:lang w:eastAsia="zh-CN"/>
        </w:rPr>
        <w:t>增强</w:t>
      </w:r>
      <w:r>
        <w:rPr>
          <w:rFonts w:hint="eastAsia" w:asciiTheme="minorEastAsia" w:hAnsiTheme="minorEastAsia" w:eastAsiaTheme="minorEastAsia" w:cstheme="minorEastAsia"/>
          <w:b w:val="0"/>
          <w:bCs w:val="0"/>
          <w:sz w:val="21"/>
          <w:szCs w:val="21"/>
          <w:lang w:val="en-US" w:eastAsia="zh-CN"/>
        </w:rPr>
        <w:t>员</w:t>
      </w:r>
      <w:r>
        <w:rPr>
          <w:rFonts w:hint="eastAsia" w:asciiTheme="minorEastAsia" w:hAnsiTheme="minorEastAsia" w:eastAsiaTheme="minorEastAsia" w:cstheme="minorEastAsia"/>
          <w:b w:val="0"/>
          <w:bCs w:val="0"/>
          <w:sz w:val="21"/>
          <w:szCs w:val="21"/>
        </w:rPr>
        <w:t>工安全防范意识。对新入岗、换岗人员或“新材料、新技术、新工艺”及使用新设备的从业人员应开展专门的安全教育和培训。特种作业人员必须按照国家有关规定经专门的安全作业培训，取得相应资格，持证上岗。</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（9）应在有较大危险的生产场所和有关设备、设施上设置明显安全警示标志。</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（10）安全设备的设计、制造、安装、使用、检测、维修、改造和报废，应符合国家相关标准。定期对安全设备进行维护、保养、并定期检测，保证正常运转。</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（11）经营单位生产过程中有涉及使用燃气等可燃气体的，应当安装可燃气体报警装置，并保障其正常使用。</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（12）经营场所应当设置符合紧急疏散要求、标志明显、保持畅通的出口、疏通通道。禁止占用、锁闭、封堵生产经营场所的出口、疏散通道。</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（13）不得使用国家明令淘汰、禁止使用的危及安全的工艺品、设备等物品。</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（14）正在使用的特种设备应当经检验、检测、验收合格，从事特种设备作业人员应当具备相应的资格，并按规定进行年检和复审。</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（15）定期组织安全检查工作。对检查中发现的安全问题，应当立即处理；不能处理的，应当及时向甲方或甲方委托的园区物业管理公司报告并采取措施确保安全。同时应当将每次的检查处理情况及时记录在案。</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16）应加强日常安全监督及施工管理，防毒气、防触电、防溺水、防高空坠落等，在施工过程中应遵守国家有关安全法律、法规及相关安全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（17）按照国家有关规定为从业人员提供符合国家标准或者行业标准的劳动保护用品，并监督、教育从业人员按照使用规则佩戴、使用。</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（18）针对自身的生产经营特点制定安全事故应急救援预案。按物业管理公司要求参加应急演练。</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（二）消防管理方面</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（1）严格遵守与消防相关的法律、法规规定及消防主管部门的各项消防管理规定。</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按照国家标准、行业标准配置消防栓、消防箱等消防设施及灭火器材，设置消防安全标志及应急照明灯，并按法规规范要求定期组织检验、维修，确保完好有效。同时应当将每次的检查、维修情况及时记录在案。</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（4）加强日常消防安全管理工作，严禁在楼道等消防通道堆放任何物品，保障消防通道、安全出口畅通。</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（5）严格落实执行消防安全检查制度，做到日常检查与重点检查相结合，发现火险隐患应当及时处理，并采取切实有效的临时措施消除。</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（6）严禁生产、仓库、经营和住宿等场所设置在同一建筑物内的三合一现象。同时在未经甲方书面同意的情形下不得擅自拆除、搭盖任何建筑。</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（7）遵守用电安全的规定，消除安全隐患，设置安全用电警示标志。严禁违反规定私自接、拉电线和随意加大负荷或改变保险装置，对电线老化、超负荷用电事宜应当及时上报供电部门进行整改、维修。</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（8）严禁违规用火、用气和存放不符合安全标准的易燃、易爆、剧毒、放射性等危险物品。依法应当进行消防验收的新建、改建、扩建、二次装修等工程项目，须经过消防部门验收合格后投入使用。</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（三）环境保护方面</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（1）应保证生产及研发符合环保要求，在排污、排气、噪音及使用放射性、腐蚀性物质等方面达到国家标准的规定，卫生控制指标符合相关法律、法规要求。</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（2）经营过程中产生工业及生活固废处置应按相关环保安全要求处理，其中产生危险固废应按危险废物相关规定做好收集、储存并委托有资质单位进行无害化处理。</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（3）在经营过程中产生生活垃圾按市政环保要求分类处理。</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七、乙方应自觉接受并配合安全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八、乙方在</w:t>
      </w:r>
      <w:r>
        <w:rPr>
          <w:rFonts w:hint="eastAsia" w:asciiTheme="minorEastAsia" w:hAnsiTheme="minorEastAsia" w:eastAsiaTheme="minorEastAsia" w:cstheme="minorEastAsia"/>
          <w:b w:val="0"/>
          <w:bCs w:val="0"/>
          <w:sz w:val="21"/>
          <w:szCs w:val="21"/>
          <w:lang w:val="en-US" w:eastAsia="zh-CN"/>
        </w:rPr>
        <w:t>使用期间</w:t>
      </w:r>
      <w:r>
        <w:rPr>
          <w:rFonts w:hint="eastAsia" w:asciiTheme="minorEastAsia" w:hAnsiTheme="minorEastAsia" w:eastAsiaTheme="minorEastAsia" w:cstheme="minorEastAsia"/>
          <w:b w:val="0"/>
          <w:bCs w:val="0"/>
          <w:sz w:val="21"/>
          <w:szCs w:val="21"/>
        </w:rPr>
        <w:t>发现有任何可能危及人身和财产的情况发生时，应当迅速采取有效措施，组织抢救抢险，防止事故扩大并及时向甲方及其代理方报告。</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九、安全管理责任</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乙方应当依法承担管理责任，落实管理工作，采取必要措施</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确保</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、人员人身及财产安全。在</w:t>
      </w:r>
      <w:r>
        <w:rPr>
          <w:rFonts w:hint="eastAsia" w:asciiTheme="minorEastAsia" w:hAnsiTheme="minorEastAsia" w:eastAsiaTheme="minorEastAsia" w:cstheme="minorEastAsia"/>
          <w:b w:val="0"/>
          <w:bCs w:val="0"/>
          <w:sz w:val="21"/>
          <w:szCs w:val="21"/>
          <w:lang w:val="en-US" w:eastAsia="zh-CN"/>
        </w:rPr>
        <w:t>使用</w:t>
      </w:r>
      <w:r>
        <w:rPr>
          <w:rFonts w:hint="eastAsia" w:asciiTheme="minorEastAsia" w:hAnsiTheme="minorEastAsia" w:eastAsiaTheme="minorEastAsia" w:cstheme="minorEastAsia"/>
          <w:b w:val="0"/>
          <w:bCs w:val="0"/>
          <w:sz w:val="21"/>
          <w:szCs w:val="21"/>
        </w:rPr>
        <w:t>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乙方在使用</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期间，甲方或甲方委托的园区物业管理公司及相关主管部门（如消防、环保、市监局等）有权进行定期检查或必要时的不定期抽查乙方的消防、安全、污染以及设施的使用情况，对乙方是否存在违规用火，私拉电线等安全隐患行为进行检查。上述安全检查并不减轻或免除乙方的责任，也不代表甲方需承担任何责任。若有安全隐患行为的，甲方或甲方委托的物业管理公司有权要求乙方进行整改。因乙方违反安全的相关规定、违反《</w:t>
      </w:r>
      <w:r>
        <w:rPr>
          <w:rFonts w:hint="eastAsia" w:asciiTheme="minorEastAsia" w:hAnsiTheme="minorEastAsia" w:eastAsiaTheme="minorEastAsia" w:cstheme="minorEastAsia"/>
          <w:b w:val="0"/>
          <w:bCs w:val="0"/>
          <w:sz w:val="21"/>
          <w:szCs w:val="21"/>
          <w:lang w:eastAsia="zh-CN"/>
        </w:rPr>
        <w:t>合作合同</w:t>
      </w:r>
      <w:r>
        <w:rPr>
          <w:rFonts w:hint="eastAsia" w:asciiTheme="minorEastAsia" w:hAnsiTheme="minorEastAsia" w:eastAsiaTheme="minorEastAsia" w:cstheme="minorEastAsia"/>
          <w:b w:val="0"/>
          <w:bCs w:val="0"/>
          <w:sz w:val="21"/>
          <w:szCs w:val="21"/>
        </w:rPr>
        <w:t>》约定或超出</w:t>
      </w:r>
      <w:r>
        <w:rPr>
          <w:rFonts w:hint="eastAsia" w:asciiTheme="minorEastAsia" w:hAnsiTheme="minorEastAsia" w:eastAsiaTheme="minorEastAsia" w:cstheme="minorEastAsia"/>
          <w:b w:val="0"/>
          <w:bCs w:val="0"/>
          <w:sz w:val="21"/>
          <w:szCs w:val="21"/>
          <w:lang w:val="en-US" w:eastAsia="zh-CN"/>
        </w:rPr>
        <w:t>使用</w:t>
      </w:r>
      <w:r>
        <w:rPr>
          <w:rFonts w:hint="eastAsia" w:asciiTheme="minorEastAsia" w:hAnsiTheme="minorEastAsia" w:eastAsiaTheme="minorEastAsia" w:cstheme="minorEastAsia"/>
          <w:b w:val="0"/>
          <w:bCs w:val="0"/>
          <w:sz w:val="21"/>
          <w:szCs w:val="21"/>
        </w:rPr>
        <w:t>范围造成安全事故及损失的，乙方应承担全部法律责任。</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w:t>
      </w:r>
      <w:r>
        <w:rPr>
          <w:rFonts w:hint="eastAsia" w:asciiTheme="minorEastAsia" w:hAnsiTheme="minorEastAsia" w:eastAsiaTheme="minorEastAsia" w:cstheme="minorEastAsia"/>
          <w:b w:val="0"/>
          <w:bCs w:val="0"/>
          <w:sz w:val="21"/>
          <w:szCs w:val="21"/>
          <w:lang w:val="en-US" w:eastAsia="zh-CN"/>
        </w:rPr>
        <w:t>合作</w:t>
      </w:r>
      <w:r>
        <w:rPr>
          <w:rFonts w:hint="eastAsia" w:asciiTheme="minorEastAsia" w:hAnsiTheme="minorEastAsia" w:eastAsiaTheme="minorEastAsia" w:cstheme="minorEastAsia"/>
          <w:b w:val="0"/>
          <w:bCs w:val="0"/>
          <w:sz w:val="21"/>
          <w:szCs w:val="21"/>
        </w:rPr>
        <w:t>期限内，如乙方违反本协议任一条款约定，且在甲方要求书面整改通知书规定的期限内未整改到位的，甲方有权解除双方签订的《</w:t>
      </w:r>
      <w:r>
        <w:rPr>
          <w:rFonts w:hint="eastAsia" w:asciiTheme="minorEastAsia" w:hAnsiTheme="minorEastAsia" w:eastAsiaTheme="minorEastAsia" w:cstheme="minorEastAsia"/>
          <w:b w:val="0"/>
          <w:bCs w:val="0"/>
          <w:sz w:val="21"/>
          <w:szCs w:val="21"/>
          <w:lang w:eastAsia="zh-CN"/>
        </w:rPr>
        <w:t>合作合同</w:t>
      </w:r>
      <w:r>
        <w:rPr>
          <w:rFonts w:hint="eastAsia" w:asciiTheme="minorEastAsia" w:hAnsiTheme="minorEastAsia" w:eastAsiaTheme="minorEastAsia" w:cstheme="minorEastAsia"/>
          <w:b w:val="0"/>
          <w:bCs w:val="0"/>
          <w:sz w:val="21"/>
          <w:szCs w:val="21"/>
        </w:rPr>
        <w:t>》、没收保证金并追究相应违约责任。</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十一、本协议系安全管理专项协议，与《</w:t>
      </w:r>
      <w:r>
        <w:rPr>
          <w:rFonts w:hint="eastAsia" w:asciiTheme="minorEastAsia" w:hAnsiTheme="minorEastAsia" w:eastAsiaTheme="minorEastAsia" w:cstheme="minorEastAsia"/>
          <w:b w:val="0"/>
          <w:bCs w:val="0"/>
          <w:sz w:val="21"/>
          <w:szCs w:val="21"/>
          <w:lang w:eastAsia="zh-CN"/>
        </w:rPr>
        <w:t>合作合同</w:t>
      </w:r>
      <w:r>
        <w:rPr>
          <w:rFonts w:hint="eastAsia" w:asciiTheme="minorEastAsia" w:hAnsiTheme="minorEastAsia" w:eastAsiaTheme="minorEastAsia" w:cstheme="minorEastAsia"/>
          <w:b w:val="0"/>
          <w:bCs w:val="0"/>
          <w:sz w:val="21"/>
          <w:szCs w:val="21"/>
        </w:rPr>
        <w:t>》具有同等法律效力。</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十二、其他</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1.本协议自双方盖章之日起生效，一式肆份，双方各执贰份，具有同等法律效力。</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2.本协议自乙方实际腾退</w:t>
      </w:r>
      <w:r>
        <w:rPr>
          <w:rFonts w:hint="eastAsia" w:asciiTheme="minorEastAsia" w:hAnsiTheme="minorEastAsia" w:eastAsiaTheme="minorEastAsia" w:cstheme="minorEastAsia"/>
          <w:b w:val="0"/>
          <w:bCs w:val="0"/>
          <w:sz w:val="21"/>
          <w:szCs w:val="21"/>
          <w:lang w:val="en-US" w:eastAsia="zh-CN"/>
        </w:rPr>
        <w:t>场地</w:t>
      </w:r>
      <w:r>
        <w:rPr>
          <w:rFonts w:hint="eastAsia" w:asciiTheme="minorEastAsia" w:hAnsiTheme="minorEastAsia" w:eastAsiaTheme="minorEastAsia" w:cstheme="minorEastAsia"/>
          <w:b w:val="0"/>
          <w:bCs w:val="0"/>
          <w:sz w:val="21"/>
          <w:szCs w:val="21"/>
        </w:rPr>
        <w:t>之日终止。</w:t>
      </w:r>
    </w:p>
    <w:p>
      <w:pPr>
        <w:spacing w:line="36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3.本协议未尽事项以法律法规及相关标准为准。</w:t>
      </w:r>
    </w:p>
    <w:p>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（以下无正文）</w:t>
      </w:r>
    </w:p>
    <w:p>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甲方：</w:t>
      </w:r>
      <w:r>
        <w:rPr>
          <w:rFonts w:hint="eastAsia" w:asciiTheme="minorEastAsia" w:hAnsiTheme="minorEastAsia" w:eastAsiaTheme="minorEastAsia" w:cstheme="minorEastAsia"/>
          <w:sz w:val="21"/>
          <w:szCs w:val="21"/>
        </w:rPr>
        <w:t>厦门火炬</w:t>
      </w:r>
      <w:r>
        <w:rPr>
          <w:rFonts w:hint="eastAsia" w:asciiTheme="minorEastAsia" w:hAnsiTheme="minorEastAsia" w:eastAsiaTheme="minorEastAsia" w:cstheme="minorEastAsia"/>
          <w:sz w:val="21"/>
          <w:szCs w:val="21"/>
          <w:lang w:val="en-US" w:eastAsia="zh-CN"/>
        </w:rPr>
        <w:t>高新区招商服务中心</w:t>
      </w:r>
      <w:r>
        <w:rPr>
          <w:rFonts w:hint="eastAsia" w:asciiTheme="minorEastAsia" w:hAnsiTheme="minorEastAsia" w:eastAsiaTheme="minorEastAsia" w:cstheme="minorEastAsia"/>
          <w:sz w:val="21"/>
          <w:szCs w:val="21"/>
        </w:rPr>
        <w:t>有限公司</w:t>
      </w:r>
      <w:r>
        <w:rPr>
          <w:rFonts w:hint="eastAsia" w:asciiTheme="minorEastAsia" w:hAnsiTheme="minorEastAsia" w:eastAsiaTheme="minorEastAsia" w:cstheme="minorEastAsia"/>
          <w:b w:val="0"/>
          <w:bCs w:val="0"/>
          <w:sz w:val="21"/>
          <w:szCs w:val="21"/>
        </w:rPr>
        <w:t xml:space="preserve">     </w:t>
      </w:r>
    </w:p>
    <w:p>
      <w:pPr>
        <w:spacing w:line="360" w:lineRule="auto"/>
        <w:rPr>
          <w:rFonts w:hint="eastAsia" w:asciiTheme="minorEastAsia" w:hAnsiTheme="minorEastAsia" w:eastAsiaTheme="minorEastAsia" w:cstheme="minorEastAsia"/>
          <w:b w:val="0"/>
          <w:bCs w:val="0"/>
          <w:sz w:val="21"/>
          <w:szCs w:val="21"/>
        </w:rPr>
      </w:pPr>
    </w:p>
    <w:p>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乙方：</w:t>
      </w:r>
    </w:p>
    <w:p>
      <w:pPr>
        <w:spacing w:line="360" w:lineRule="auto"/>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签订地点：厦门市</w:t>
      </w:r>
      <w:r>
        <w:rPr>
          <w:rFonts w:hint="eastAsia" w:asciiTheme="minorEastAsia" w:hAnsiTheme="minorEastAsia" w:eastAsiaTheme="minorEastAsia" w:cstheme="minorEastAsia"/>
          <w:b w:val="0"/>
          <w:bCs w:val="0"/>
          <w:sz w:val="21"/>
          <w:szCs w:val="21"/>
          <w:lang w:val="en-US" w:eastAsia="zh-CN"/>
        </w:rPr>
        <w:t>湖里</w:t>
      </w:r>
      <w:r>
        <w:rPr>
          <w:rFonts w:hint="eastAsia" w:asciiTheme="minorEastAsia" w:hAnsiTheme="minorEastAsia" w:eastAsiaTheme="minorEastAsia" w:cstheme="minorEastAsia"/>
          <w:b w:val="0"/>
          <w:bCs w:val="0"/>
          <w:sz w:val="21"/>
          <w:szCs w:val="21"/>
        </w:rPr>
        <w:t>区</w:t>
      </w:r>
    </w:p>
    <w:p>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签订日期：    年  月  日</w:t>
      </w:r>
    </w:p>
    <w:p>
      <w:pPr>
        <w:spacing w:line="440" w:lineRule="exact"/>
        <w:rPr>
          <w:rFonts w:hint="eastAsia" w:asciiTheme="minorEastAsia" w:hAnsiTheme="minorEastAsia" w:eastAsiaTheme="minorEastAsia" w:cstheme="minorEastAsia"/>
          <w:b/>
          <w:bCs/>
          <w:spacing w:val="2"/>
          <w:sz w:val="21"/>
          <w:szCs w:val="21"/>
          <w:lang w:eastAsia="zh-CN"/>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docPartObj>
        <w:docPartGallery w:val="autotext"/>
      </w:docPartObj>
    </w:sdtPr>
    <w:sdtEndPr>
      <w:rPr>
        <w:rStyle w:val="10"/>
      </w:rPr>
    </w:sdtEndPr>
    <w:sdtContent>
      <w:p>
        <w:pPr>
          <w:pStyle w:val="5"/>
          <w:framePr w:wrap="around"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- 4 -</w:t>
        </w:r>
        <w:r>
          <w:rPr>
            <w:rStyle w:val="10"/>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582021231"/>
      <w:docPartObj>
        <w:docPartGallery w:val="autotext"/>
      </w:docPartObj>
    </w:sdtPr>
    <w:sdtEndPr>
      <w:rPr>
        <w:rStyle w:val="10"/>
      </w:rPr>
    </w:sdtEndPr>
    <w:sdtContent>
      <w:p>
        <w:pPr>
          <w:pStyle w:val="5"/>
          <w:framePr w:wrap="around"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color w:val="4F81BD" w:themeColor="accent1"/>
        <w14:textFill>
          <w14:solidFill>
            <w14:schemeClr w14:val="accent1"/>
          </w14:solidFill>
        </w14:textFill>
      </w:rPr>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010"/>
    <w:multiLevelType w:val="multilevel"/>
    <w:tmpl w:val="01A12010"/>
    <w:lvl w:ilvl="0" w:tentative="0">
      <w:start w:val="7"/>
      <w:numFmt w:val="decimal"/>
      <w:lvlText w:val="%1."/>
      <w:lvlJc w:val="left"/>
      <w:pPr>
        <w:ind w:left="425" w:hanging="425"/>
      </w:pPr>
      <w:rPr>
        <w:rFonts w:cs="Times New Roman"/>
      </w:rPr>
    </w:lvl>
    <w:lvl w:ilvl="1" w:tentative="0">
      <w:start w:val="1"/>
      <w:numFmt w:val="decimal"/>
      <w:lvlText w:val="%1.%2."/>
      <w:lvlJc w:val="left"/>
      <w:pPr>
        <w:ind w:left="567" w:hanging="567"/>
      </w:pPr>
      <w:rPr>
        <w:rFonts w:cs="Times New Roman"/>
        <w:color w:val="auto"/>
      </w:rPr>
    </w:lvl>
    <w:lvl w:ilvl="2" w:tentative="0">
      <w:start w:val="1"/>
      <w:numFmt w:val="decimal"/>
      <w:lvlText w:val="%1.%2.%3."/>
      <w:lvlJc w:val="left"/>
      <w:pPr>
        <w:ind w:left="709" w:hanging="709"/>
      </w:pPr>
      <w:rPr>
        <w:rFonts w:cs="Times New Roman"/>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1">
    <w:nsid w:val="461B4C49"/>
    <w:multiLevelType w:val="multilevel"/>
    <w:tmpl w:val="461B4C49"/>
    <w:lvl w:ilvl="0" w:tentative="0">
      <w:start w:val="1"/>
      <w:numFmt w:val="decimal"/>
      <w:lvlText w:val="%1."/>
      <w:lvlJc w:val="left"/>
      <w:pPr>
        <w:ind w:left="425" w:hanging="425"/>
      </w:pPr>
      <w:rPr>
        <w:rFonts w:cs="Times New Roman"/>
      </w:rPr>
    </w:lvl>
    <w:lvl w:ilvl="1" w:tentative="0">
      <w:start w:val="1"/>
      <w:numFmt w:val="decimal"/>
      <w:lvlText w:val="%1.%2."/>
      <w:lvlJc w:val="left"/>
      <w:pPr>
        <w:ind w:left="1276" w:hanging="567"/>
      </w:pPr>
      <w:rPr>
        <w:rFonts w:cs="Times New Roman"/>
        <w:b w:val="0"/>
      </w:rPr>
    </w:lvl>
    <w:lvl w:ilvl="2" w:tentative="0">
      <w:start w:val="1"/>
      <w:numFmt w:val="decimal"/>
      <w:lvlText w:val="%1.%2.%3."/>
      <w:lvlJc w:val="left"/>
      <w:pPr>
        <w:ind w:left="1559" w:hanging="709"/>
      </w:pPr>
      <w:rPr>
        <w:rFonts w:cs="Times New Roman"/>
        <w:b w:val="0"/>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04"/>
    <w:rsid w:val="00034E63"/>
    <w:rsid w:val="0005125E"/>
    <w:rsid w:val="00061611"/>
    <w:rsid w:val="000821E9"/>
    <w:rsid w:val="000C6275"/>
    <w:rsid w:val="000D1489"/>
    <w:rsid w:val="000D2C6B"/>
    <w:rsid w:val="00110057"/>
    <w:rsid w:val="0011438F"/>
    <w:rsid w:val="00120002"/>
    <w:rsid w:val="001361A6"/>
    <w:rsid w:val="00155775"/>
    <w:rsid w:val="0017191B"/>
    <w:rsid w:val="001742AC"/>
    <w:rsid w:val="001743EC"/>
    <w:rsid w:val="001966DE"/>
    <w:rsid w:val="001A5B68"/>
    <w:rsid w:val="001B16E5"/>
    <w:rsid w:val="001B7CBD"/>
    <w:rsid w:val="001C1A82"/>
    <w:rsid w:val="001C37F6"/>
    <w:rsid w:val="001E23DB"/>
    <w:rsid w:val="001F11A5"/>
    <w:rsid w:val="00216EE1"/>
    <w:rsid w:val="00297F30"/>
    <w:rsid w:val="002D334E"/>
    <w:rsid w:val="00312DE2"/>
    <w:rsid w:val="003165D7"/>
    <w:rsid w:val="00325981"/>
    <w:rsid w:val="00327873"/>
    <w:rsid w:val="0036536B"/>
    <w:rsid w:val="00377522"/>
    <w:rsid w:val="00391C37"/>
    <w:rsid w:val="00402EA2"/>
    <w:rsid w:val="004061C4"/>
    <w:rsid w:val="0042213A"/>
    <w:rsid w:val="0045749C"/>
    <w:rsid w:val="004658EB"/>
    <w:rsid w:val="00466AB8"/>
    <w:rsid w:val="00480016"/>
    <w:rsid w:val="00493A4D"/>
    <w:rsid w:val="004B086A"/>
    <w:rsid w:val="004C0F51"/>
    <w:rsid w:val="004C7D88"/>
    <w:rsid w:val="004D4A29"/>
    <w:rsid w:val="004F0C04"/>
    <w:rsid w:val="00513021"/>
    <w:rsid w:val="0052157A"/>
    <w:rsid w:val="00530A35"/>
    <w:rsid w:val="005346AA"/>
    <w:rsid w:val="00550B60"/>
    <w:rsid w:val="00580C86"/>
    <w:rsid w:val="005D364C"/>
    <w:rsid w:val="00602ED4"/>
    <w:rsid w:val="00612132"/>
    <w:rsid w:val="006173D9"/>
    <w:rsid w:val="00634033"/>
    <w:rsid w:val="006453CF"/>
    <w:rsid w:val="006529D6"/>
    <w:rsid w:val="00662A11"/>
    <w:rsid w:val="006875A3"/>
    <w:rsid w:val="006A173F"/>
    <w:rsid w:val="006B4357"/>
    <w:rsid w:val="006B596A"/>
    <w:rsid w:val="006C512F"/>
    <w:rsid w:val="006D5F95"/>
    <w:rsid w:val="006D6806"/>
    <w:rsid w:val="006F546F"/>
    <w:rsid w:val="006F5644"/>
    <w:rsid w:val="006F5D9C"/>
    <w:rsid w:val="007038B1"/>
    <w:rsid w:val="007354E7"/>
    <w:rsid w:val="00740336"/>
    <w:rsid w:val="00747130"/>
    <w:rsid w:val="00756FE1"/>
    <w:rsid w:val="007651AC"/>
    <w:rsid w:val="00781818"/>
    <w:rsid w:val="0079626D"/>
    <w:rsid w:val="007A56AB"/>
    <w:rsid w:val="007D1E93"/>
    <w:rsid w:val="00804B6B"/>
    <w:rsid w:val="00812BB0"/>
    <w:rsid w:val="00836408"/>
    <w:rsid w:val="00854DBD"/>
    <w:rsid w:val="00870698"/>
    <w:rsid w:val="008745C9"/>
    <w:rsid w:val="00892420"/>
    <w:rsid w:val="00896CEE"/>
    <w:rsid w:val="008A4066"/>
    <w:rsid w:val="008E7C7C"/>
    <w:rsid w:val="009124FE"/>
    <w:rsid w:val="0093395C"/>
    <w:rsid w:val="00962334"/>
    <w:rsid w:val="00972D22"/>
    <w:rsid w:val="00972D34"/>
    <w:rsid w:val="00993603"/>
    <w:rsid w:val="00995678"/>
    <w:rsid w:val="009A0031"/>
    <w:rsid w:val="009E6DC7"/>
    <w:rsid w:val="009F4AFC"/>
    <w:rsid w:val="00A060A8"/>
    <w:rsid w:val="00A10275"/>
    <w:rsid w:val="00A273DB"/>
    <w:rsid w:val="00A375AB"/>
    <w:rsid w:val="00A50994"/>
    <w:rsid w:val="00A614BF"/>
    <w:rsid w:val="00A657B7"/>
    <w:rsid w:val="00AA4F55"/>
    <w:rsid w:val="00AB5628"/>
    <w:rsid w:val="00AE5A55"/>
    <w:rsid w:val="00B03580"/>
    <w:rsid w:val="00B241DB"/>
    <w:rsid w:val="00B4637A"/>
    <w:rsid w:val="00B7243D"/>
    <w:rsid w:val="00BF4B80"/>
    <w:rsid w:val="00BF5F60"/>
    <w:rsid w:val="00C02A6D"/>
    <w:rsid w:val="00C02A88"/>
    <w:rsid w:val="00C802B9"/>
    <w:rsid w:val="00C83967"/>
    <w:rsid w:val="00C94DDB"/>
    <w:rsid w:val="00CA16B6"/>
    <w:rsid w:val="00CB212B"/>
    <w:rsid w:val="00CF34ED"/>
    <w:rsid w:val="00D16DD0"/>
    <w:rsid w:val="00D32834"/>
    <w:rsid w:val="00D3330A"/>
    <w:rsid w:val="00D44F1A"/>
    <w:rsid w:val="00D770D6"/>
    <w:rsid w:val="00D9775C"/>
    <w:rsid w:val="00DC5D3A"/>
    <w:rsid w:val="00DD31D6"/>
    <w:rsid w:val="00DE1B12"/>
    <w:rsid w:val="00DF1341"/>
    <w:rsid w:val="00E052FA"/>
    <w:rsid w:val="00E648D3"/>
    <w:rsid w:val="00E729CC"/>
    <w:rsid w:val="00E96F78"/>
    <w:rsid w:val="00EA71D1"/>
    <w:rsid w:val="00EB088F"/>
    <w:rsid w:val="00EB314D"/>
    <w:rsid w:val="00ED68EE"/>
    <w:rsid w:val="00ED71DC"/>
    <w:rsid w:val="00F002FC"/>
    <w:rsid w:val="00F04E50"/>
    <w:rsid w:val="00F14B9F"/>
    <w:rsid w:val="00F23E98"/>
    <w:rsid w:val="00F373C7"/>
    <w:rsid w:val="00F37C7E"/>
    <w:rsid w:val="00F95004"/>
    <w:rsid w:val="00F97409"/>
    <w:rsid w:val="00FA314C"/>
    <w:rsid w:val="00FA6A73"/>
    <w:rsid w:val="00FB1A03"/>
    <w:rsid w:val="00FB3B24"/>
    <w:rsid w:val="00FB67D6"/>
    <w:rsid w:val="00FB7289"/>
    <w:rsid w:val="00FC3BF8"/>
    <w:rsid w:val="00FC7C0D"/>
    <w:rsid w:val="00FD1C06"/>
    <w:rsid w:val="00FD716D"/>
    <w:rsid w:val="00FE081A"/>
    <w:rsid w:val="00FF359D"/>
    <w:rsid w:val="04CC6C69"/>
    <w:rsid w:val="07754629"/>
    <w:rsid w:val="08F02AB4"/>
    <w:rsid w:val="0B5613D3"/>
    <w:rsid w:val="0D5042E6"/>
    <w:rsid w:val="129E5F35"/>
    <w:rsid w:val="16396EE8"/>
    <w:rsid w:val="17B50F2F"/>
    <w:rsid w:val="17DC6866"/>
    <w:rsid w:val="18AF48D0"/>
    <w:rsid w:val="1D9A285C"/>
    <w:rsid w:val="1E4075E6"/>
    <w:rsid w:val="1E711F22"/>
    <w:rsid w:val="24C030A2"/>
    <w:rsid w:val="293049C1"/>
    <w:rsid w:val="2A4507DD"/>
    <w:rsid w:val="2B13116E"/>
    <w:rsid w:val="31531ED4"/>
    <w:rsid w:val="3211271C"/>
    <w:rsid w:val="32600B10"/>
    <w:rsid w:val="33FA2BA1"/>
    <w:rsid w:val="33FE4AA3"/>
    <w:rsid w:val="35F728C1"/>
    <w:rsid w:val="37FBB239"/>
    <w:rsid w:val="3FFF8DF9"/>
    <w:rsid w:val="57E0778F"/>
    <w:rsid w:val="5BE62C14"/>
    <w:rsid w:val="5EF273A6"/>
    <w:rsid w:val="64D53659"/>
    <w:rsid w:val="66195A66"/>
    <w:rsid w:val="6B5B8B2A"/>
    <w:rsid w:val="6BBD0A18"/>
    <w:rsid w:val="6C480AB5"/>
    <w:rsid w:val="6E7B48C2"/>
    <w:rsid w:val="77FD702E"/>
    <w:rsid w:val="77FF0726"/>
    <w:rsid w:val="78BD3F62"/>
    <w:rsid w:val="78EE3AF8"/>
    <w:rsid w:val="7A296EDD"/>
    <w:rsid w:val="7AFFFA17"/>
    <w:rsid w:val="7B3D531D"/>
    <w:rsid w:val="7FBFEDDE"/>
    <w:rsid w:val="ADFE3D90"/>
    <w:rsid w:val="B3FFCDC1"/>
    <w:rsid w:val="BA9B5555"/>
    <w:rsid w:val="BBFF3B66"/>
    <w:rsid w:val="BFB83DB8"/>
    <w:rsid w:val="BFBFF0BA"/>
    <w:rsid w:val="D7AF63D4"/>
    <w:rsid w:val="DFC5E2BC"/>
    <w:rsid w:val="EF95689F"/>
    <w:rsid w:val="F1F78625"/>
    <w:rsid w:val="F73FCAB9"/>
    <w:rsid w:val="FA7E83D2"/>
    <w:rsid w:val="FDD7B0A3"/>
    <w:rsid w:val="FDF3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ody Text"/>
    <w:basedOn w:val="1"/>
    <w:link w:val="14"/>
    <w:unhideWhenUsed/>
    <w:qFormat/>
    <w:uiPriority w:val="0"/>
    <w:pPr>
      <w:ind w:left="20"/>
    </w:pPr>
    <w:rPr>
      <w:rFonts w:ascii="宋体" w:hAnsi="宋体"/>
      <w:sz w:val="24"/>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b/>
      <w:bCs/>
    </w:rPr>
  </w:style>
  <w:style w:type="character" w:styleId="10">
    <w:name w:val="pag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 字符"/>
    <w:basedOn w:val="9"/>
    <w:link w:val="3"/>
    <w:qFormat/>
    <w:uiPriority w:val="0"/>
    <w:rPr>
      <w:rFonts w:ascii="宋体" w:hAnsi="宋体" w:eastAsia="宋体" w:cs="Times New Roman"/>
      <w:kern w:val="0"/>
      <w:sz w:val="24"/>
      <w:szCs w:val="24"/>
      <w:lang w:eastAsia="en-US"/>
    </w:rPr>
  </w:style>
  <w:style w:type="paragraph" w:styleId="15">
    <w:name w:val="List Paragraph"/>
    <w:basedOn w:val="1"/>
    <w:qFormat/>
    <w:uiPriority w:val="34"/>
    <w:pPr>
      <w:ind w:firstLine="420" w:firstLineChars="200"/>
      <w:jc w:val="both"/>
    </w:pPr>
    <w:rPr>
      <w:kern w:val="2"/>
      <w:sz w:val="21"/>
      <w:lang w:eastAsia="zh-CN"/>
    </w:rPr>
  </w:style>
  <w:style w:type="paragraph" w:customStyle="1" w:styleId="16">
    <w:name w:val="列出段落1"/>
    <w:basedOn w:val="1"/>
    <w:qFormat/>
    <w:uiPriority w:val="34"/>
    <w:pPr>
      <w:ind w:firstLine="420" w:firstLineChars="200"/>
    </w:pPr>
  </w:style>
  <w:style w:type="paragraph" w:customStyle="1" w:styleId="17">
    <w:name w:val="列出段落2"/>
    <w:basedOn w:val="1"/>
    <w:qFormat/>
    <w:uiPriority w:val="0"/>
    <w:pPr>
      <w:ind w:firstLine="420" w:firstLineChars="200"/>
      <w:jc w:val="both"/>
    </w:pPr>
    <w:rPr>
      <w:kern w:val="2"/>
      <w:sz w:val="21"/>
      <w:lang w:eastAsia="zh-CN"/>
    </w:rPr>
  </w:style>
  <w:style w:type="character" w:customStyle="1" w:styleId="18">
    <w:name w:val="批注框文本 字符"/>
    <w:basedOn w:val="9"/>
    <w:link w:val="4"/>
    <w:semiHidden/>
    <w:qFormat/>
    <w:uiPriority w:val="99"/>
    <w:rPr>
      <w:rFonts w:ascii="Calibri" w:hAnsi="Calibri" w:eastAsia="宋体" w:cs="Times New Roman"/>
      <w:kern w:val="0"/>
      <w:sz w:val="18"/>
      <w:szCs w:val="18"/>
      <w:lang w:eastAsia="en-US"/>
    </w:rPr>
  </w:style>
  <w:style w:type="character" w:customStyle="1" w:styleId="19">
    <w:name w:val="批注文字 字符"/>
    <w:basedOn w:val="9"/>
    <w:link w:val="2"/>
    <w:semiHidden/>
    <w:qFormat/>
    <w:uiPriority w:val="99"/>
    <w:rPr>
      <w:rFonts w:ascii="Calibri" w:hAnsi="Calibri" w:eastAsia="宋体" w:cs="Times New Roman"/>
      <w:sz w:val="22"/>
      <w:szCs w:val="22"/>
      <w:lang w:eastAsia="en-US"/>
    </w:rPr>
  </w:style>
  <w:style w:type="character" w:customStyle="1" w:styleId="20">
    <w:name w:val="批注主题 字符"/>
    <w:basedOn w:val="19"/>
    <w:link w:val="7"/>
    <w:qFormat/>
    <w:uiPriority w:val="0"/>
    <w:rPr>
      <w:rFonts w:ascii="Calibri" w:hAnsi="Calibri" w:eastAsia="宋体" w:cs="Times New Roman"/>
      <w:sz w:val="22"/>
      <w:szCs w:val="22"/>
      <w:lang w:eastAsia="en-US"/>
    </w:rPr>
  </w:style>
  <w:style w:type="paragraph" w:customStyle="1" w:styleId="21">
    <w:name w:val="修订1"/>
    <w:hidden/>
    <w:unhideWhenUsed/>
    <w:qFormat/>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7012</Words>
  <Characters>7221</Characters>
  <Lines>24</Lines>
  <Paragraphs>6</Paragraphs>
  <TotalTime>10</TotalTime>
  <ScaleCrop>false</ScaleCrop>
  <LinksUpToDate>false</LinksUpToDate>
  <CharactersWithSpaces>7433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2020-06-10T02:26:00Z</dcterms:created>
  <dc:creator>RYYC</dc:creator>
  <cp:lastModifiedBy>Zzz</cp:lastModifiedBy>
  <cp:lastPrinted>2020-06-16T19:32:00Z</cp:lastPrinted>
  <dcterms:modified xsi:type="dcterms:W3CDTF">2026-05-29T09:13:29Z</dcterms:modified>
  <dc:title>合同编号：ZSZX-2020137</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eyJoZGlkIjoiZWY5NTQwYTVhNjJlYThjY2ZlOTUyMTEwMDcwNDUwNGIiLCJ1c2VySWQiOiIyNTk1MDQ5ODUifQ==</vt:lpwstr>
  </property>
  <property fmtid="{D5CDD505-2E9C-101B-9397-08002B2CF9AE}" pid="4" name="ICV">
    <vt:lpwstr>5147F7CE5EBA4581AA596A10EFFFFF96_13</vt:lpwstr>
  </property>
</Properties>
</file>