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AAC21">
      <w:pPr>
        <w:widowControl/>
        <w:spacing w:line="450" w:lineRule="atLeast"/>
        <w:jc w:val="center"/>
        <w:rPr>
          <w:rFonts w:hint="eastAsia" w:ascii="宋体" w:hAnsi="宋体" w:cs="宋体"/>
          <w:b/>
          <w:kern w:val="0"/>
          <w:sz w:val="24"/>
          <w:szCs w:val="21"/>
        </w:rPr>
      </w:pPr>
      <w:r>
        <w:rPr>
          <w:rFonts w:hint="eastAsia" w:ascii="宋体" w:hAnsi="宋体" w:cs="宋体"/>
          <w:b/>
          <w:kern w:val="0"/>
          <w:sz w:val="24"/>
          <w:szCs w:val="21"/>
        </w:rPr>
        <w:t>厦门火炬高新区招商服务中心有限公司</w:t>
      </w:r>
    </w:p>
    <w:p w14:paraId="4DFA9259">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竞租</w:t>
      </w:r>
      <w:r>
        <w:rPr>
          <w:rFonts w:hint="eastAsia" w:ascii="宋体" w:hAnsi="宋体" w:cs="宋体"/>
          <w:b/>
          <w:kern w:val="0"/>
          <w:sz w:val="24"/>
          <w:szCs w:val="21"/>
          <w:lang w:eastAsia="zh-CN"/>
        </w:rPr>
        <w:t>标的</w:t>
      </w:r>
      <w:r>
        <w:rPr>
          <w:rFonts w:ascii="宋体" w:hAnsi="宋体" w:cs="宋体"/>
          <w:b/>
          <w:kern w:val="0"/>
          <w:sz w:val="24"/>
          <w:szCs w:val="21"/>
        </w:rPr>
        <w:t>明细表</w:t>
      </w:r>
    </w:p>
    <w:p w14:paraId="20CD35E7">
      <w:pPr>
        <w:widowControl/>
        <w:spacing w:line="450" w:lineRule="atLeast"/>
        <w:jc w:val="center"/>
        <w:rPr>
          <w:rFonts w:ascii="宋体" w:hAnsi="宋体" w:cs="宋体"/>
          <w:b/>
          <w:kern w:val="0"/>
          <w:sz w:val="24"/>
          <w:szCs w:val="21"/>
        </w:rPr>
      </w:pPr>
      <w:r>
        <w:rPr>
          <w:rFonts w:ascii="宋体" w:hAnsi="宋体" w:cs="宋体"/>
          <w:b/>
          <w:kern w:val="0"/>
          <w:sz w:val="24"/>
          <w:szCs w:val="21"/>
        </w:rPr>
        <w:t>202</w:t>
      </w:r>
      <w:r>
        <w:rPr>
          <w:rFonts w:hint="eastAsia" w:ascii="宋体" w:hAnsi="宋体" w:cs="宋体"/>
          <w:b/>
          <w:kern w:val="0"/>
          <w:sz w:val="24"/>
          <w:szCs w:val="21"/>
        </w:rPr>
        <w:t>6</w:t>
      </w:r>
      <w:r>
        <w:rPr>
          <w:rFonts w:ascii="宋体" w:hAnsi="宋体" w:cs="宋体"/>
          <w:b/>
          <w:kern w:val="0"/>
          <w:sz w:val="24"/>
          <w:szCs w:val="21"/>
        </w:rPr>
        <w:t>年第</w:t>
      </w:r>
      <w:r>
        <w:rPr>
          <w:rFonts w:hint="eastAsia" w:ascii="宋体" w:hAnsi="宋体" w:cs="宋体"/>
          <w:b/>
          <w:kern w:val="0"/>
          <w:sz w:val="24"/>
          <w:szCs w:val="21"/>
          <w:lang w:val="en-US" w:eastAsia="zh-CN"/>
        </w:rPr>
        <w:t>8</w:t>
      </w:r>
      <w:r>
        <w:rPr>
          <w:rFonts w:ascii="宋体" w:hAnsi="宋体" w:cs="宋体"/>
          <w:b/>
          <w:kern w:val="0"/>
          <w:sz w:val="24"/>
          <w:szCs w:val="21"/>
        </w:rPr>
        <w:t>期</w:t>
      </w:r>
    </w:p>
    <w:tbl>
      <w:tblPr>
        <w:tblStyle w:val="6"/>
        <w:tblpPr w:leftFromText="180" w:rightFromText="180" w:vertAnchor="text" w:horzAnchor="page" w:tblpX="346" w:tblpY="1044"/>
        <w:tblOverlap w:val="never"/>
        <w:tblW w:w="11238" w:type="dxa"/>
        <w:tblInd w:w="0" w:type="dxa"/>
        <w:tblLayout w:type="fixed"/>
        <w:tblCellMar>
          <w:top w:w="0" w:type="dxa"/>
          <w:left w:w="108" w:type="dxa"/>
          <w:bottom w:w="0" w:type="dxa"/>
          <w:right w:w="108" w:type="dxa"/>
        </w:tblCellMar>
      </w:tblPr>
      <w:tblGrid>
        <w:gridCol w:w="709"/>
        <w:gridCol w:w="926"/>
        <w:gridCol w:w="956"/>
        <w:gridCol w:w="927"/>
        <w:gridCol w:w="2147"/>
        <w:gridCol w:w="1279"/>
        <w:gridCol w:w="971"/>
        <w:gridCol w:w="838"/>
        <w:gridCol w:w="750"/>
        <w:gridCol w:w="1735"/>
      </w:tblGrid>
      <w:tr w14:paraId="68C73291">
        <w:tblPrEx>
          <w:tblCellMar>
            <w:top w:w="0" w:type="dxa"/>
            <w:left w:w="108" w:type="dxa"/>
            <w:bottom w:w="0" w:type="dxa"/>
            <w:right w:w="108" w:type="dxa"/>
          </w:tblCellMar>
        </w:tblPrEx>
        <w:trPr>
          <w:trHeight w:val="657" w:hRule="atLeast"/>
        </w:trPr>
        <w:tc>
          <w:tcPr>
            <w:tcW w:w="709" w:type="dxa"/>
            <w:tcBorders>
              <w:top w:val="single" w:color="auto" w:sz="8" w:space="0"/>
              <w:left w:val="single" w:color="auto" w:sz="8" w:space="0"/>
              <w:bottom w:val="single" w:color="000000" w:sz="8" w:space="0"/>
              <w:right w:val="single" w:color="auto" w:sz="8" w:space="0"/>
            </w:tcBorders>
            <w:vAlign w:val="center"/>
          </w:tcPr>
          <w:p w14:paraId="176AE97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序号</w:t>
            </w:r>
          </w:p>
        </w:tc>
        <w:tc>
          <w:tcPr>
            <w:tcW w:w="926" w:type="dxa"/>
            <w:tcBorders>
              <w:top w:val="single" w:color="auto" w:sz="8" w:space="0"/>
              <w:left w:val="single" w:color="auto" w:sz="8" w:space="0"/>
              <w:bottom w:val="single" w:color="000000" w:sz="8" w:space="0"/>
              <w:right w:val="single" w:color="auto" w:sz="8" w:space="0"/>
            </w:tcBorders>
            <w:vAlign w:val="center"/>
          </w:tcPr>
          <w:p w14:paraId="241E477D">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lang w:eastAsia="zh-CN"/>
              </w:rPr>
              <w:t>项目</w:t>
            </w:r>
          </w:p>
        </w:tc>
        <w:tc>
          <w:tcPr>
            <w:tcW w:w="956" w:type="dxa"/>
            <w:tcBorders>
              <w:top w:val="single" w:color="auto" w:sz="8" w:space="0"/>
              <w:left w:val="single" w:color="auto" w:sz="8" w:space="0"/>
              <w:bottom w:val="single" w:color="000000" w:sz="8" w:space="0"/>
              <w:right w:val="single" w:color="auto" w:sz="8" w:space="0"/>
            </w:tcBorders>
            <w:vAlign w:val="center"/>
          </w:tcPr>
          <w:p w14:paraId="3699233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eastAsia="zh-CN"/>
              </w:rPr>
              <w:t>标的</w:t>
            </w:r>
            <w:r>
              <w:rPr>
                <w:rFonts w:hint="eastAsia" w:cs="宋体" w:asciiTheme="minorEastAsia" w:hAnsiTheme="minorEastAsia" w:eastAsiaTheme="minorEastAsia"/>
                <w:color w:val="000000"/>
                <w:kern w:val="0"/>
                <w:szCs w:val="21"/>
              </w:rPr>
              <w:t>坐落及名称</w:t>
            </w:r>
          </w:p>
        </w:tc>
        <w:tc>
          <w:tcPr>
            <w:tcW w:w="927" w:type="dxa"/>
            <w:tcBorders>
              <w:top w:val="single" w:color="auto" w:sz="8" w:space="0"/>
              <w:left w:val="single" w:color="auto" w:sz="8" w:space="0"/>
              <w:bottom w:val="single" w:color="000000" w:sz="8" w:space="0"/>
              <w:right w:val="single" w:color="auto" w:sz="8" w:space="0"/>
            </w:tcBorders>
            <w:vAlign w:val="center"/>
          </w:tcPr>
          <w:p w14:paraId="53D0E260">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业态要求</w:t>
            </w:r>
          </w:p>
        </w:tc>
        <w:tc>
          <w:tcPr>
            <w:tcW w:w="2147" w:type="dxa"/>
            <w:tcBorders>
              <w:top w:val="single" w:color="auto" w:sz="8" w:space="0"/>
              <w:left w:val="single" w:color="auto" w:sz="8" w:space="0"/>
              <w:bottom w:val="single" w:color="000000" w:sz="8" w:space="0"/>
              <w:right w:val="single" w:color="auto" w:sz="4" w:space="0"/>
            </w:tcBorders>
            <w:vAlign w:val="center"/>
          </w:tcPr>
          <w:p w14:paraId="1B3700CB">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shd w:val="clear"/>
              </w:rPr>
              <w:t>报名条件</w:t>
            </w:r>
          </w:p>
        </w:tc>
        <w:tc>
          <w:tcPr>
            <w:tcW w:w="1279" w:type="dxa"/>
            <w:tcBorders>
              <w:top w:val="single" w:color="auto" w:sz="4" w:space="0"/>
              <w:left w:val="single" w:color="auto" w:sz="4" w:space="0"/>
              <w:bottom w:val="single" w:color="auto" w:sz="4" w:space="0"/>
              <w:right w:val="single" w:color="auto" w:sz="4" w:space="0"/>
            </w:tcBorders>
            <w:vAlign w:val="center"/>
          </w:tcPr>
          <w:p w14:paraId="5B5A1C12">
            <w:pPr>
              <w:widowControl/>
              <w:jc w:val="center"/>
              <w:rPr>
                <w:rFonts w:cs="宋体" w:asciiTheme="minorEastAsia" w:hAnsiTheme="minorEastAsia" w:eastAsiaTheme="minorEastAsia"/>
                <w:color w:val="000000"/>
                <w:kern w:val="0"/>
                <w:szCs w:val="21"/>
              </w:rPr>
            </w:pPr>
            <w:r>
              <w:rPr>
                <w:rFonts w:hint="eastAsia" w:ascii="宋体" w:hAnsi="宋体" w:eastAsia="宋体" w:cs="宋体"/>
                <w:i w:val="0"/>
                <w:iCs w:val="0"/>
                <w:color w:val="000000"/>
                <w:kern w:val="0"/>
                <w:sz w:val="24"/>
                <w:szCs w:val="24"/>
                <w:u w:val="none"/>
                <w:lang w:val="en-US" w:eastAsia="zh-CN" w:bidi="ar"/>
              </w:rPr>
              <w:t>规划</w:t>
            </w:r>
          </w:p>
        </w:tc>
        <w:tc>
          <w:tcPr>
            <w:tcW w:w="971" w:type="dxa"/>
            <w:tcBorders>
              <w:top w:val="single" w:color="auto" w:sz="4" w:space="0"/>
              <w:left w:val="single" w:color="auto" w:sz="4" w:space="0"/>
              <w:bottom w:val="single" w:color="auto" w:sz="4" w:space="0"/>
              <w:right w:val="single" w:color="auto" w:sz="4" w:space="0"/>
            </w:tcBorders>
            <w:vAlign w:val="center"/>
          </w:tcPr>
          <w:p w14:paraId="23E8E0BB">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竞租底价</w:t>
            </w:r>
            <w:r>
              <w:rPr>
                <w:rFonts w:hint="eastAsia" w:cs="宋体" w:asciiTheme="minorEastAsia" w:hAnsiTheme="minorEastAsia" w:eastAsiaTheme="minorEastAsia"/>
                <w:color w:val="000000"/>
                <w:kern w:val="0"/>
                <w:szCs w:val="21"/>
                <w:lang w:eastAsia="zh-CN"/>
              </w:rPr>
              <w:t>（收益分成）</w:t>
            </w:r>
          </w:p>
        </w:tc>
        <w:tc>
          <w:tcPr>
            <w:tcW w:w="838" w:type="dxa"/>
            <w:tcBorders>
              <w:top w:val="single" w:color="auto" w:sz="8" w:space="0"/>
              <w:left w:val="single" w:color="auto" w:sz="4" w:space="0"/>
              <w:bottom w:val="single" w:color="auto" w:sz="8" w:space="0"/>
              <w:right w:val="single" w:color="auto" w:sz="8" w:space="0"/>
            </w:tcBorders>
            <w:vAlign w:val="center"/>
          </w:tcPr>
          <w:p w14:paraId="0E19A379">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eastAsiaTheme="minorEastAsia"/>
                <w:color w:val="000000"/>
                <w:kern w:val="0"/>
                <w:szCs w:val="21"/>
              </w:rPr>
              <w:t>竞租保证金</w:t>
            </w:r>
            <w:r>
              <w:rPr>
                <w:rFonts w:hint="eastAsia" w:cs="宋体" w:asciiTheme="minorEastAsia" w:hAnsiTheme="minorEastAsia" w:eastAsiaTheme="minorEastAsia"/>
                <w:color w:val="000000"/>
                <w:kern w:val="0"/>
                <w:szCs w:val="21"/>
                <w:lang w:eastAsia="zh-CN"/>
              </w:rPr>
              <w:t>（元）</w:t>
            </w:r>
          </w:p>
        </w:tc>
        <w:tc>
          <w:tcPr>
            <w:tcW w:w="750" w:type="dxa"/>
            <w:tcBorders>
              <w:top w:val="single" w:color="auto" w:sz="8" w:space="0"/>
              <w:left w:val="single" w:color="auto" w:sz="8" w:space="0"/>
              <w:bottom w:val="single" w:color="000000" w:sz="8" w:space="0"/>
              <w:right w:val="single" w:color="auto" w:sz="8" w:space="0"/>
            </w:tcBorders>
            <w:vAlign w:val="center"/>
          </w:tcPr>
          <w:p w14:paraId="35355F8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租赁年限</w:t>
            </w:r>
          </w:p>
        </w:tc>
        <w:tc>
          <w:tcPr>
            <w:tcW w:w="1735" w:type="dxa"/>
            <w:tcBorders>
              <w:top w:val="single" w:color="auto" w:sz="8" w:space="0"/>
              <w:left w:val="single" w:color="auto" w:sz="8" w:space="0"/>
              <w:bottom w:val="single" w:color="000000" w:sz="8" w:space="0"/>
              <w:right w:val="single" w:color="auto" w:sz="8" w:space="0"/>
            </w:tcBorders>
            <w:noWrap/>
            <w:vAlign w:val="center"/>
          </w:tcPr>
          <w:p w14:paraId="033702B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p>
        </w:tc>
      </w:tr>
      <w:tr w14:paraId="7D3DFCE6">
        <w:tblPrEx>
          <w:tblCellMar>
            <w:top w:w="0" w:type="dxa"/>
            <w:left w:w="108" w:type="dxa"/>
            <w:bottom w:w="0" w:type="dxa"/>
            <w:right w:w="108" w:type="dxa"/>
          </w:tblCellMar>
        </w:tblPrEx>
        <w:trPr>
          <w:trHeight w:val="7329" w:hRule="atLeast"/>
        </w:trPr>
        <w:tc>
          <w:tcPr>
            <w:tcW w:w="709" w:type="dxa"/>
            <w:tcBorders>
              <w:top w:val="nil"/>
              <w:left w:val="single" w:color="auto" w:sz="8" w:space="0"/>
              <w:bottom w:val="single" w:color="000000" w:sz="8" w:space="0"/>
              <w:right w:val="single" w:color="auto" w:sz="8" w:space="0"/>
            </w:tcBorders>
            <w:noWrap/>
            <w:vAlign w:val="center"/>
          </w:tcPr>
          <w:p w14:paraId="5E4FC3F7">
            <w:pPr>
              <w:widowControl/>
              <w:jc w:val="center"/>
              <w:rPr>
                <w:rFonts w:cs="宋体" w:asciiTheme="minorEastAsia" w:hAnsiTheme="minorEastAsia" w:eastAsiaTheme="minorEastAsia"/>
                <w:color w:val="000000"/>
                <w:kern w:val="0"/>
                <w:szCs w:val="21"/>
              </w:rPr>
            </w:pPr>
            <w:bookmarkStart w:id="0" w:name="_Hlk84662127"/>
            <w:r>
              <w:rPr>
                <w:rFonts w:hint="eastAsia" w:cs="宋体" w:asciiTheme="minorEastAsia" w:hAnsiTheme="minorEastAsia" w:eastAsiaTheme="minorEastAsia"/>
                <w:color w:val="000000"/>
                <w:kern w:val="0"/>
                <w:szCs w:val="21"/>
              </w:rPr>
              <w:t>1</w:t>
            </w:r>
          </w:p>
        </w:tc>
        <w:tc>
          <w:tcPr>
            <w:tcW w:w="926" w:type="dxa"/>
            <w:tcBorders>
              <w:top w:val="nil"/>
              <w:left w:val="single" w:color="auto" w:sz="8" w:space="0"/>
              <w:bottom w:val="single" w:color="000000" w:sz="8" w:space="0"/>
              <w:right w:val="single" w:color="auto" w:sz="8" w:space="0"/>
            </w:tcBorders>
            <w:vAlign w:val="center"/>
          </w:tcPr>
          <w:p w14:paraId="1AEAB11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val="en-US" w:eastAsia="zh-CN"/>
              </w:rPr>
              <w:t>翔悦里</w:t>
            </w:r>
          </w:p>
        </w:tc>
        <w:tc>
          <w:tcPr>
            <w:tcW w:w="956" w:type="dxa"/>
            <w:tcBorders>
              <w:top w:val="nil"/>
              <w:left w:val="single" w:color="auto" w:sz="8" w:space="0"/>
              <w:bottom w:val="single" w:color="000000" w:sz="8" w:space="0"/>
              <w:right w:val="single" w:color="auto" w:sz="8" w:space="0"/>
            </w:tcBorders>
            <w:vAlign w:val="center"/>
          </w:tcPr>
          <w:p w14:paraId="3F4FF8A6">
            <w:pPr>
              <w:widowControl/>
              <w:jc w:val="center"/>
              <w:rPr>
                <w:rFonts w:hint="eastAsia" w:cs="宋体" w:asciiTheme="minorEastAsia" w:hAnsiTheme="minorEastAsia" w:eastAsiaTheme="minorEastAsia"/>
                <w:color w:val="000000"/>
                <w:kern w:val="0"/>
                <w:szCs w:val="21"/>
                <w:lang w:val="en-US" w:eastAsia="zh-CN"/>
              </w:rPr>
            </w:pPr>
            <w:r>
              <w:rPr>
                <w:rFonts w:hint="eastAsia" w:eastAsia="宋体"/>
                <w:lang w:val="en-US" w:eastAsia="zh-CN"/>
              </w:rPr>
              <w:t>厦门火炬高新区同翔高新城翔安区万家春路689号</w:t>
            </w:r>
            <w:r>
              <w:rPr>
                <w:rFonts w:hint="eastAsia" w:cs="宋体" w:asciiTheme="minorEastAsia" w:hAnsiTheme="minorEastAsia" w:eastAsiaTheme="minorEastAsia"/>
                <w:color w:val="000000"/>
                <w:kern w:val="0"/>
                <w:szCs w:val="21"/>
                <w:lang w:val="en-US" w:eastAsia="zh-CN"/>
              </w:rPr>
              <w:t>机动车停车场</w:t>
            </w:r>
          </w:p>
          <w:p w14:paraId="38844290">
            <w:pPr>
              <w:widowControl/>
              <w:jc w:val="center"/>
              <w:rPr>
                <w:rFonts w:cs="宋体" w:asciiTheme="minorEastAsia" w:hAnsiTheme="minorEastAsia" w:eastAsiaTheme="minorEastAsia"/>
                <w:color w:val="000000"/>
                <w:kern w:val="0"/>
                <w:szCs w:val="21"/>
              </w:rPr>
            </w:pPr>
          </w:p>
        </w:tc>
        <w:tc>
          <w:tcPr>
            <w:tcW w:w="927" w:type="dxa"/>
            <w:tcBorders>
              <w:top w:val="nil"/>
              <w:left w:val="single" w:color="auto" w:sz="8" w:space="0"/>
              <w:bottom w:val="single" w:color="000000" w:sz="8" w:space="0"/>
              <w:right w:val="single" w:color="auto" w:sz="8" w:space="0"/>
            </w:tcBorders>
            <w:vAlign w:val="center"/>
          </w:tcPr>
          <w:p w14:paraId="5CFD0512">
            <w:pPr>
              <w:widowControl/>
              <w:jc w:val="center"/>
              <w:rPr>
                <w:rFonts w:hint="eastAsia" w:cs="宋体" w:asciiTheme="minorEastAsia" w:hAnsiTheme="minorEastAsia" w:eastAsiaTheme="minorEastAsia"/>
                <w:color w:val="000000"/>
                <w:kern w:val="0"/>
                <w:szCs w:val="21"/>
                <w:lang w:eastAsia="zh-CN"/>
              </w:rPr>
            </w:pPr>
            <w:r>
              <w:rPr>
                <w:rFonts w:hint="eastAsia"/>
                <w:lang w:val="en-US" w:eastAsia="zh-CN"/>
              </w:rPr>
              <w:t>新能源汽车快速充电站</w:t>
            </w:r>
          </w:p>
        </w:tc>
        <w:tc>
          <w:tcPr>
            <w:tcW w:w="2147" w:type="dxa"/>
            <w:tcBorders>
              <w:top w:val="nil"/>
              <w:left w:val="nil"/>
              <w:bottom w:val="single" w:color="auto" w:sz="8" w:space="0"/>
              <w:right w:val="single" w:color="auto" w:sz="4" w:space="0"/>
            </w:tcBorders>
            <w:shd w:val="clear" w:color="000000" w:fill="FFFFFF"/>
          </w:tcPr>
          <w:p w14:paraId="210BD511">
            <w:pPr>
              <w:numPr>
                <w:ilvl w:val="0"/>
                <w:numId w:val="0"/>
              </w:numPr>
              <w:ind w:leftChars="0"/>
              <w:jc w:val="left"/>
              <w:rPr>
                <w:rFonts w:hint="eastAsia" w:eastAsia="宋体"/>
                <w:lang w:val="en-US" w:eastAsia="zh-CN"/>
              </w:rPr>
            </w:pPr>
            <w:r>
              <w:rPr>
                <w:rFonts w:hint="eastAsia" w:eastAsia="宋体"/>
                <w:lang w:val="en-US" w:eastAsia="zh-CN"/>
              </w:rPr>
              <w:t>1、独立法人资格，具备</w:t>
            </w:r>
            <w:r>
              <w:rPr>
                <w:rFonts w:hint="eastAsia"/>
                <w:lang w:val="en-US" w:eastAsia="zh-CN"/>
              </w:rPr>
              <w:t>新能源汽车快速</w:t>
            </w:r>
            <w:r>
              <w:rPr>
                <w:rFonts w:hint="eastAsia" w:eastAsia="宋体"/>
                <w:lang w:val="en-US" w:eastAsia="zh-CN"/>
              </w:rPr>
              <w:t>充电设施建设资质及运营管理平台；</w:t>
            </w:r>
          </w:p>
          <w:p w14:paraId="77AC3C3B">
            <w:pPr>
              <w:numPr>
                <w:ilvl w:val="0"/>
                <w:numId w:val="0"/>
              </w:numPr>
              <w:ind w:leftChars="0"/>
              <w:jc w:val="left"/>
              <w:rPr>
                <w:rFonts w:hint="eastAsia" w:eastAsia="宋体"/>
                <w:lang w:val="en-US" w:eastAsia="zh-CN"/>
              </w:rPr>
            </w:pPr>
            <w:r>
              <w:rPr>
                <w:rFonts w:hint="eastAsia"/>
                <w:lang w:val="en-US" w:eastAsia="zh-CN"/>
              </w:rPr>
              <w:t>2</w:t>
            </w:r>
            <w:r>
              <w:rPr>
                <w:rFonts w:hint="eastAsia" w:eastAsia="宋体"/>
                <w:lang w:val="en-US" w:eastAsia="zh-CN"/>
              </w:rPr>
              <w:t>、需在我国境内有效注册且经合法年检、依法纳税、遵守我国的法律、法规，具有独立企业法人资格；</w:t>
            </w:r>
          </w:p>
          <w:p w14:paraId="09051878">
            <w:pPr>
              <w:numPr>
                <w:ilvl w:val="0"/>
                <w:numId w:val="0"/>
              </w:numPr>
              <w:ind w:leftChars="0"/>
              <w:jc w:val="left"/>
              <w:rPr>
                <w:rFonts w:hint="eastAsia"/>
                <w:lang w:eastAsia="zh-CN"/>
              </w:rPr>
            </w:pPr>
            <w:r>
              <w:rPr>
                <w:rFonts w:hint="eastAsia"/>
                <w:lang w:val="en-US" w:eastAsia="zh-CN"/>
              </w:rPr>
              <w:t>3</w:t>
            </w:r>
            <w:r>
              <w:rPr>
                <w:rFonts w:hint="eastAsia" w:eastAsia="宋体"/>
                <w:lang w:val="en-US" w:eastAsia="zh-CN"/>
              </w:rPr>
              <w:t>、具有履行合同所必需的能力；</w:t>
            </w:r>
          </w:p>
          <w:p w14:paraId="0B45BB67">
            <w:pPr>
              <w:numPr>
                <w:ilvl w:val="0"/>
                <w:numId w:val="0"/>
              </w:numPr>
              <w:ind w:leftChars="0"/>
              <w:jc w:val="left"/>
              <w:rPr>
                <w:rFonts w:hint="eastAsia"/>
                <w:lang w:eastAsia="zh-CN"/>
              </w:rPr>
            </w:pPr>
            <w:r>
              <w:rPr>
                <w:rFonts w:hint="eastAsia"/>
                <w:lang w:val="en-US" w:eastAsia="zh-CN"/>
              </w:rPr>
              <w:t>4</w:t>
            </w:r>
            <w:r>
              <w:rPr>
                <w:rFonts w:hint="eastAsia" w:eastAsia="宋体"/>
                <w:lang w:val="en-US" w:eastAsia="zh-CN"/>
              </w:rPr>
              <w:t>、竞租人不得被“信用中国”网站中列入失信被执行人和重大税收违法案件当事人名单，不得为中国政府采购网（www.ccgp.gov.cn）政府采购严重违法失信行为记录名单中被财政部门禁止参加政府采购活动的供应商。</w:t>
            </w:r>
          </w:p>
        </w:tc>
        <w:tc>
          <w:tcPr>
            <w:tcW w:w="1279" w:type="dxa"/>
            <w:tcBorders>
              <w:top w:val="single" w:color="auto" w:sz="4" w:space="0"/>
              <w:left w:val="single" w:color="auto" w:sz="4" w:space="0"/>
              <w:bottom w:val="single" w:color="auto" w:sz="4" w:space="0"/>
              <w:right w:val="single" w:color="auto" w:sz="4" w:space="0"/>
            </w:tcBorders>
            <w:vAlign w:val="center"/>
          </w:tcPr>
          <w:p w14:paraId="1E22D36E">
            <w:pPr>
              <w:numPr>
                <w:ilvl w:val="0"/>
                <w:numId w:val="0"/>
              </w:numPr>
              <w:ind w:leftChars="0"/>
              <w:jc w:val="left"/>
              <w:rPr>
                <w:rFonts w:hint="default" w:eastAsia="宋体"/>
                <w:lang w:val="en-US" w:eastAsia="zh-CN"/>
              </w:rPr>
            </w:pPr>
            <w:r>
              <w:rPr>
                <w:rFonts w:hint="eastAsia" w:eastAsia="宋体"/>
                <w:lang w:val="en-US" w:eastAsia="zh-CN"/>
              </w:rPr>
              <w:t>将生活区东门东北侧原规划的24个停车位，作为新能源汽车快速充电站，按收益分成模式合作</w:t>
            </w:r>
          </w:p>
        </w:tc>
        <w:tc>
          <w:tcPr>
            <w:tcW w:w="971" w:type="dxa"/>
            <w:tcBorders>
              <w:top w:val="single" w:color="auto" w:sz="4" w:space="0"/>
              <w:left w:val="single" w:color="auto" w:sz="4" w:space="0"/>
              <w:bottom w:val="single" w:color="auto" w:sz="4" w:space="0"/>
              <w:right w:val="single" w:color="auto" w:sz="4" w:space="0"/>
            </w:tcBorders>
            <w:vAlign w:val="center"/>
          </w:tcPr>
          <w:p w14:paraId="3E5C557D">
            <w:pPr>
              <w:widowControl/>
              <w:jc w:val="center"/>
              <w:rPr>
                <w:rFonts w:hint="default" w:cs="宋体" w:asciiTheme="minorEastAsia" w:hAnsiTheme="minorEastAsia" w:eastAsiaTheme="minorEastAsia"/>
                <w:kern w:val="0"/>
                <w:szCs w:val="21"/>
                <w:lang w:val="en-US" w:eastAsia="zh-CN"/>
              </w:rPr>
            </w:pPr>
            <w:r>
              <w:rPr>
                <w:rFonts w:hint="eastAsia" w:ascii="宋体" w:hAnsi="宋体" w:cs="宋体"/>
                <w:i w:val="0"/>
                <w:iCs w:val="0"/>
                <w:color w:val="000000"/>
                <w:kern w:val="0"/>
                <w:sz w:val="24"/>
                <w:szCs w:val="24"/>
                <w:u w:val="none"/>
                <w:lang w:val="en-US" w:eastAsia="zh-CN" w:bidi="ar"/>
              </w:rPr>
              <w:t>15%</w:t>
            </w:r>
          </w:p>
        </w:tc>
        <w:tc>
          <w:tcPr>
            <w:tcW w:w="838" w:type="dxa"/>
            <w:tcBorders>
              <w:top w:val="nil"/>
              <w:left w:val="single" w:color="auto" w:sz="4" w:space="0"/>
              <w:bottom w:val="single" w:color="000000" w:sz="8" w:space="0"/>
              <w:right w:val="single" w:color="auto" w:sz="8" w:space="0"/>
            </w:tcBorders>
            <w:vAlign w:val="center"/>
          </w:tcPr>
          <w:p w14:paraId="6145B6EA">
            <w:pPr>
              <w:pStyle w:val="5"/>
              <w:ind w:left="0" w:leftChars="0" w:firstLine="0" w:firstLineChars="0"/>
              <w:rPr>
                <w:rFonts w:hint="default" w:eastAsiaTheme="minorEastAsia"/>
                <w:lang w:val="en-US" w:eastAsia="zh-CN"/>
              </w:rPr>
            </w:pPr>
            <w:r>
              <w:rPr>
                <w:rFonts w:hint="eastAsia" w:cs="宋体" w:asciiTheme="minorEastAsia" w:hAnsiTheme="minorEastAsia" w:eastAsiaTheme="minorEastAsia"/>
                <w:color w:val="000000"/>
                <w:kern w:val="0"/>
                <w:sz w:val="21"/>
                <w:szCs w:val="21"/>
                <w:highlight w:val="none"/>
                <w:lang w:val="en-US" w:eastAsia="zh-CN" w:bidi="ar-SA"/>
              </w:rPr>
              <w:t>10000</w:t>
            </w:r>
          </w:p>
        </w:tc>
        <w:tc>
          <w:tcPr>
            <w:tcW w:w="750" w:type="dxa"/>
            <w:tcBorders>
              <w:top w:val="nil"/>
              <w:left w:val="single" w:color="auto" w:sz="8" w:space="0"/>
              <w:bottom w:val="single" w:color="000000" w:sz="8" w:space="0"/>
              <w:right w:val="single" w:color="auto" w:sz="8" w:space="0"/>
            </w:tcBorders>
            <w:noWrap/>
            <w:vAlign w:val="center"/>
          </w:tcPr>
          <w:p w14:paraId="15BE76E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lang w:val="en-US" w:eastAsia="zh-CN"/>
              </w:rPr>
              <w:t>5</w:t>
            </w:r>
            <w:r>
              <w:rPr>
                <w:rFonts w:hint="eastAsia" w:cs="宋体" w:asciiTheme="minorEastAsia" w:hAnsiTheme="minorEastAsia" w:eastAsiaTheme="minorEastAsia"/>
                <w:color w:val="000000"/>
                <w:kern w:val="0"/>
                <w:szCs w:val="21"/>
              </w:rPr>
              <w:t>年</w:t>
            </w:r>
          </w:p>
          <w:p w14:paraId="17DE2CF8">
            <w:pPr>
              <w:widowControl/>
              <w:jc w:val="center"/>
              <w:rPr>
                <w:rFonts w:cs="宋体" w:asciiTheme="minorEastAsia" w:hAnsiTheme="minorEastAsia" w:eastAsiaTheme="minorEastAsia"/>
                <w:color w:val="000000"/>
                <w:kern w:val="0"/>
                <w:szCs w:val="21"/>
              </w:rPr>
            </w:pPr>
          </w:p>
        </w:tc>
        <w:tc>
          <w:tcPr>
            <w:tcW w:w="1735" w:type="dxa"/>
            <w:tcBorders>
              <w:top w:val="nil"/>
              <w:left w:val="single" w:color="auto" w:sz="8" w:space="0"/>
              <w:bottom w:val="single" w:color="000000" w:sz="8" w:space="0"/>
              <w:right w:val="single" w:color="auto" w:sz="8" w:space="0"/>
            </w:tcBorders>
            <w:noWrap/>
            <w:vAlign w:val="center"/>
          </w:tcPr>
          <w:p w14:paraId="3C3BB189">
            <w:pPr>
              <w:numPr>
                <w:ilvl w:val="0"/>
                <w:numId w:val="0"/>
              </w:numPr>
              <w:ind w:leftChars="0"/>
              <w:jc w:val="left"/>
              <w:rPr>
                <w:rFonts w:hint="eastAsia" w:eastAsia="宋体"/>
                <w:lang w:val="en-US" w:eastAsia="zh-CN"/>
              </w:rPr>
            </w:pPr>
            <w:r>
              <w:rPr>
                <w:rFonts w:hint="eastAsia" w:eastAsia="宋体"/>
                <w:lang w:val="en-US" w:eastAsia="zh-CN"/>
              </w:rPr>
              <w:t>采用收益分成的方式，本次竞租底价15%为充电服务费比例底价，遵循价高者得。若</w:t>
            </w:r>
            <w:r>
              <w:rPr>
                <w:rFonts w:hint="eastAsia"/>
                <w:lang w:val="en-US" w:eastAsia="zh-CN"/>
              </w:rPr>
              <w:t>月度</w:t>
            </w:r>
            <w:r>
              <w:rPr>
                <w:rFonts w:hint="eastAsia" w:eastAsia="宋体"/>
                <w:lang w:val="en-US" w:eastAsia="zh-CN"/>
              </w:rPr>
              <w:t>充电服务费分成不足停车费</w:t>
            </w:r>
            <w:r>
              <w:rPr>
                <w:rFonts w:hint="eastAsia"/>
                <w:lang w:val="en-US" w:eastAsia="zh-CN"/>
              </w:rPr>
              <w:t>1920</w:t>
            </w:r>
            <w:r>
              <w:rPr>
                <w:rFonts w:hint="eastAsia" w:eastAsia="宋体"/>
                <w:lang w:val="en-US" w:eastAsia="zh-CN"/>
              </w:rPr>
              <w:t>元/</w:t>
            </w:r>
            <w:r>
              <w:rPr>
                <w:rFonts w:hint="eastAsia"/>
                <w:lang w:val="en-US" w:eastAsia="zh-CN"/>
              </w:rPr>
              <w:t>月</w:t>
            </w:r>
            <w:r>
              <w:rPr>
                <w:rFonts w:hint="eastAsia" w:eastAsia="宋体"/>
                <w:lang w:val="en-US" w:eastAsia="zh-CN"/>
              </w:rPr>
              <w:t>，则竞租方按场地保底收费支付给招租人。</w:t>
            </w:r>
          </w:p>
          <w:p w14:paraId="655E08E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r>
      <w:bookmarkEnd w:id="0"/>
    </w:tbl>
    <w:p w14:paraId="1E5BA4D0">
      <w:pPr>
        <w:widowControl/>
        <w:jc w:val="left"/>
        <w:rPr>
          <w:rFonts w:ascii="微软雅黑" w:hAnsi="微软雅黑" w:eastAsia="微软雅黑" w:cs="宋体"/>
          <w:b/>
          <w:kern w:val="0"/>
          <w:sz w:val="24"/>
          <w:szCs w:val="24"/>
        </w:rPr>
      </w:pPr>
      <w:r>
        <w:rPr>
          <w:rFonts w:hint="eastAsia" w:ascii="宋体" w:hAnsi="宋体" w:cs="宋体"/>
          <w:b/>
          <w:kern w:val="0"/>
          <w:sz w:val="24"/>
          <w:szCs w:val="21"/>
          <w:lang w:eastAsia="zh-CN"/>
        </w:rPr>
        <w:t>标的物</w:t>
      </w:r>
      <w:r>
        <w:rPr>
          <w:rFonts w:hint="eastAsia" w:ascii="宋体" w:hAnsi="宋体" w:cs="宋体"/>
          <w:b/>
          <w:kern w:val="0"/>
          <w:sz w:val="24"/>
          <w:szCs w:val="21"/>
        </w:rPr>
        <w:t>所在地：</w:t>
      </w:r>
      <w:r>
        <w:rPr>
          <w:rFonts w:hint="eastAsia" w:eastAsia="宋体"/>
          <w:lang w:val="en-US" w:eastAsia="zh-CN"/>
        </w:rPr>
        <w:t>厦门火炬高新区同翔高新城翔安区万家春路689号翔悦里停车场</w:t>
      </w:r>
      <w:r>
        <w:rPr>
          <w:rFonts w:ascii="微软雅黑" w:hAnsi="微软雅黑" w:eastAsia="微软雅黑" w:cs="宋体"/>
          <w:b/>
          <w:kern w:val="0"/>
          <w:sz w:val="24"/>
          <w:szCs w:val="24"/>
        </w:rPr>
        <w:br w:type="page"/>
      </w:r>
    </w:p>
    <w:p w14:paraId="56D27BCC">
      <w:pPr>
        <w:widowControl/>
        <w:spacing w:before="150" w:after="150" w:line="450" w:lineRule="atLeast"/>
        <w:rPr>
          <w:rFonts w:hint="eastAsia" w:ascii="微软雅黑" w:hAnsi="微软雅黑" w:eastAsia="微软雅黑" w:cs="宋体"/>
          <w:b/>
          <w:kern w:val="0"/>
          <w:sz w:val="24"/>
          <w:szCs w:val="24"/>
          <w:lang w:eastAsia="zh-CN"/>
        </w:rPr>
      </w:pPr>
      <w:bookmarkStart w:id="1" w:name="_Hlk84671680"/>
      <w:r>
        <w:rPr>
          <w:rFonts w:hint="eastAsia" w:ascii="微软雅黑" w:hAnsi="微软雅黑" w:eastAsia="微软雅黑" w:cs="宋体"/>
          <w:b/>
          <w:kern w:val="0"/>
          <w:sz w:val="24"/>
          <w:szCs w:val="24"/>
          <w:lang w:eastAsia="zh-CN"/>
        </w:rPr>
        <w:t>翔悦里场地</w:t>
      </w:r>
      <w:r>
        <w:rPr>
          <w:rFonts w:hint="eastAsia" w:ascii="微软雅黑" w:hAnsi="微软雅黑" w:eastAsia="微软雅黑" w:cs="宋体"/>
          <w:b/>
          <w:kern w:val="0"/>
          <w:sz w:val="24"/>
          <w:szCs w:val="24"/>
        </w:rPr>
        <w:t>示意图</w:t>
      </w:r>
      <w:bookmarkEnd w:id="1"/>
      <w:r>
        <w:rPr>
          <w:rFonts w:hint="eastAsia" w:ascii="微软雅黑" w:hAnsi="微软雅黑" w:eastAsia="微软雅黑" w:cs="宋体"/>
          <w:b/>
          <w:kern w:val="0"/>
          <w:sz w:val="24"/>
          <w:szCs w:val="24"/>
          <w:lang w:eastAsia="zh-CN"/>
        </w:rPr>
        <w:t>：</w:t>
      </w:r>
    </w:p>
    <w:p w14:paraId="387AC69E">
      <w:pPr>
        <w:widowControl/>
        <w:spacing w:before="150" w:after="150" w:line="450" w:lineRule="atLeast"/>
        <w:ind w:left="-567" w:leftChars="-270" w:firstLine="121" w:firstLineChars="58"/>
        <w:jc w:val="center"/>
        <w:rPr>
          <w:rFonts w:hint="eastAsia" w:ascii="微软雅黑" w:hAnsi="微软雅黑" w:eastAsia="微软雅黑" w:cs="宋体"/>
          <w:b/>
          <w:kern w:val="0"/>
          <w:sz w:val="24"/>
          <w:szCs w:val="24"/>
        </w:rPr>
      </w:pPr>
      <w:r>
        <w:drawing>
          <wp:inline distT="0" distB="0" distL="114300" distR="114300">
            <wp:extent cx="4765675" cy="3314065"/>
            <wp:effectExtent l="0" t="0" r="1587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765675" cy="3314065"/>
                    </a:xfrm>
                    <a:prstGeom prst="rect">
                      <a:avLst/>
                    </a:prstGeom>
                    <a:noFill/>
                    <a:ln>
                      <a:noFill/>
                    </a:ln>
                  </pic:spPr>
                </pic:pic>
              </a:graphicData>
            </a:graphic>
          </wp:inline>
        </w:drawing>
      </w:r>
    </w:p>
    <w:p w14:paraId="59CF1F8D">
      <w:pPr>
        <w:widowControl/>
        <w:spacing w:before="150" w:after="150" w:line="450" w:lineRule="atLeas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 xml:space="preserve">特别说明: </w:t>
      </w:r>
    </w:p>
    <w:p w14:paraId="300AD657">
      <w:pPr>
        <w:widowControl/>
        <w:numPr>
          <w:ilvl w:val="0"/>
          <w:numId w:val="0"/>
        </w:numPr>
        <w:tabs>
          <w:tab w:val="left" w:pos="1815"/>
          <w:tab w:val="center" w:pos="4252"/>
        </w:tabs>
        <w:spacing w:line="450" w:lineRule="atLeast"/>
        <w:jc w:val="left"/>
        <w:rPr>
          <w:rFonts w:hint="eastAsia" w:ascii="微软雅黑" w:hAnsi="微软雅黑" w:eastAsia="微软雅黑" w:cs="宋体"/>
          <w:b/>
          <w:kern w:val="0"/>
          <w:sz w:val="24"/>
          <w:szCs w:val="24"/>
          <w:lang w:val="en-US" w:eastAsia="zh-CN"/>
        </w:rPr>
      </w:pPr>
      <w:r>
        <w:rPr>
          <w:rFonts w:hint="eastAsia" w:ascii="微软雅黑" w:hAnsi="微软雅黑" w:eastAsia="微软雅黑" w:cs="宋体"/>
          <w:b/>
          <w:kern w:val="0"/>
          <w:sz w:val="24"/>
          <w:szCs w:val="24"/>
          <w:lang w:val="en-US" w:eastAsia="zh-CN"/>
        </w:rPr>
        <w:t>1、本次竞租底价为充电收益分成比例底价15%，遵循价高者得原则确定竞租结果。竞租人将充电站收取的服务费（不含代收代缴的电费）按约定比例支付给招租人。但若月度充电服务费分成不足停车收费1920元（停车位80元/个/月，共24个。即1920元/月，含税），则竞租方按场地保底收费1920元/月支付给招租人。收益分成支付方式按季度支付。</w:t>
      </w:r>
      <w:bookmarkStart w:id="2" w:name="_GoBack"/>
      <w:bookmarkEnd w:id="2"/>
    </w:p>
    <w:p w14:paraId="2DF0D083">
      <w:pPr>
        <w:widowControl/>
        <w:numPr>
          <w:numId w:val="0"/>
        </w:numPr>
        <w:tabs>
          <w:tab w:val="left" w:pos="1815"/>
          <w:tab w:val="center" w:pos="4252"/>
        </w:tabs>
        <w:spacing w:line="450" w:lineRule="atLeast"/>
        <w:jc w:val="left"/>
        <w:rPr>
          <w:rFonts w:hint="eastAsia" w:ascii="微软雅黑" w:hAnsi="微软雅黑" w:eastAsia="微软雅黑" w:cs="宋体"/>
          <w:b/>
          <w:kern w:val="0"/>
          <w:sz w:val="24"/>
          <w:szCs w:val="24"/>
          <w:lang w:val="en-US" w:eastAsia="zh-CN"/>
        </w:rPr>
      </w:pPr>
      <w:r>
        <w:rPr>
          <w:rFonts w:hint="eastAsia" w:ascii="微软雅黑" w:hAnsi="微软雅黑" w:eastAsia="微软雅黑" w:cs="宋体"/>
          <w:b/>
          <w:kern w:val="0"/>
          <w:sz w:val="24"/>
          <w:szCs w:val="24"/>
          <w:lang w:val="en-US" w:eastAsia="zh-CN"/>
        </w:rPr>
        <w:t>2、园区物业管理单位按照厦门工商业用电收费标准（闽发改规[2023]8号）向竞租人收取基础电费，含自用电费、工业用电的基本电费和电费公摊，并统一代缴电费，不计入本次竞租收益分成范畴。</w:t>
      </w:r>
    </w:p>
    <w:p w14:paraId="2A4F432A">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lang w:val="en-US" w:eastAsia="zh-CN"/>
        </w:rPr>
        <w:t>3</w:t>
      </w:r>
      <w:r>
        <w:rPr>
          <w:rFonts w:hint="eastAsia" w:ascii="微软雅黑" w:hAnsi="微软雅黑" w:eastAsia="微软雅黑" w:cs="宋体"/>
          <w:b/>
          <w:kern w:val="0"/>
          <w:sz w:val="24"/>
          <w:szCs w:val="24"/>
        </w:rPr>
        <w:t>、凡拟意向报名参加本次竞租的竞租人，在日常经营管理中，如存在不良经营记录，被媒体曝光或存在投诉记录等不良行为的，不得参与本次竞租。</w:t>
      </w:r>
    </w:p>
    <w:p w14:paraId="569E6C9C">
      <w:pPr>
        <w:widowControl/>
        <w:tabs>
          <w:tab w:val="left" w:pos="1815"/>
          <w:tab w:val="center" w:pos="4252"/>
        </w:tabs>
        <w:spacing w:line="450" w:lineRule="atLeast"/>
        <w:jc w:val="left"/>
        <w:rPr>
          <w:rFonts w:hint="eastAsia" w:ascii="微软雅黑" w:hAnsi="微软雅黑" w:eastAsia="微软雅黑" w:cs="宋体"/>
          <w:b/>
          <w:kern w:val="0"/>
          <w:sz w:val="24"/>
          <w:szCs w:val="24"/>
          <w:lang w:val="en-US" w:eastAsia="zh-CN"/>
        </w:rPr>
      </w:pPr>
      <w:r>
        <w:rPr>
          <w:rFonts w:hint="eastAsia" w:ascii="微软雅黑" w:hAnsi="微软雅黑" w:eastAsia="微软雅黑" w:cs="宋体"/>
          <w:b/>
          <w:kern w:val="0"/>
          <w:sz w:val="24"/>
          <w:szCs w:val="24"/>
          <w:lang w:val="en-US" w:eastAsia="zh-CN"/>
        </w:rPr>
        <w:t>4</w:t>
      </w:r>
      <w:r>
        <w:rPr>
          <w:rFonts w:hint="eastAsia" w:ascii="微软雅黑" w:hAnsi="微软雅黑" w:eastAsia="微软雅黑" w:cs="宋体"/>
          <w:b/>
          <w:kern w:val="0"/>
          <w:sz w:val="24"/>
          <w:szCs w:val="24"/>
        </w:rPr>
        <w:t>、凡拟意向报名参加本次竞租的竞租人，在“国家企业信用信息系统（www.gsxt.gov.cn）”中被列入经营异常名录信息、列入严重违法失信企业名单（黑名单）信息的，不得参与本次竞租。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华文中宋">
    <w:panose1 w:val="02010600040101010101"/>
    <w:charset w:val="86"/>
    <w:family w:val="auto"/>
    <w:pitch w:val="default"/>
    <w:sig w:usb0="00000287" w:usb1="080F0000" w:usb2="00000000" w:usb3="00000000" w:csb0="0004009F" w:csb1="DFD70000"/>
  </w:font>
  <w:font w:name="等线">
    <w:altName w:val="华文中宋"/>
    <w:panose1 w:val="02010600030101010101"/>
    <w:charset w:val="86"/>
    <w:family w:val="auto"/>
    <w:pitch w:val="default"/>
    <w:sig w:usb0="00000000" w:usb1="00000000"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01000"/>
    <w:rsid w:val="000059DC"/>
    <w:rsid w:val="00080CF2"/>
    <w:rsid w:val="000D73CC"/>
    <w:rsid w:val="000E4C56"/>
    <w:rsid w:val="000F2746"/>
    <w:rsid w:val="00164B34"/>
    <w:rsid w:val="001C3034"/>
    <w:rsid w:val="00222F27"/>
    <w:rsid w:val="00245CCD"/>
    <w:rsid w:val="002B3897"/>
    <w:rsid w:val="003212FD"/>
    <w:rsid w:val="003B4DBE"/>
    <w:rsid w:val="004D5229"/>
    <w:rsid w:val="00514E26"/>
    <w:rsid w:val="00683EAA"/>
    <w:rsid w:val="007146C0"/>
    <w:rsid w:val="0079731D"/>
    <w:rsid w:val="007A0B05"/>
    <w:rsid w:val="007E780B"/>
    <w:rsid w:val="008420D1"/>
    <w:rsid w:val="0087561B"/>
    <w:rsid w:val="008B65EF"/>
    <w:rsid w:val="008D4543"/>
    <w:rsid w:val="009A62E3"/>
    <w:rsid w:val="00A6035E"/>
    <w:rsid w:val="00A642F0"/>
    <w:rsid w:val="00C01000"/>
    <w:rsid w:val="00C23A86"/>
    <w:rsid w:val="00C5436D"/>
    <w:rsid w:val="00C96927"/>
    <w:rsid w:val="00D6602E"/>
    <w:rsid w:val="00DF7481"/>
    <w:rsid w:val="00F875EE"/>
    <w:rsid w:val="00FD66FF"/>
    <w:rsid w:val="0AFF7146"/>
    <w:rsid w:val="0FFE1500"/>
    <w:rsid w:val="14F757F3"/>
    <w:rsid w:val="17DDCC8E"/>
    <w:rsid w:val="279CE36C"/>
    <w:rsid w:val="28FF6BCA"/>
    <w:rsid w:val="2BE23FB2"/>
    <w:rsid w:val="2EFE32BB"/>
    <w:rsid w:val="2EFF6BB2"/>
    <w:rsid w:val="2FF71E5D"/>
    <w:rsid w:val="2FFBBEAE"/>
    <w:rsid w:val="3B5FB915"/>
    <w:rsid w:val="3B5FC831"/>
    <w:rsid w:val="3BE9353D"/>
    <w:rsid w:val="3DF38CF8"/>
    <w:rsid w:val="3E1696A5"/>
    <w:rsid w:val="3FB725A3"/>
    <w:rsid w:val="3FCF7E29"/>
    <w:rsid w:val="3FF7B7B5"/>
    <w:rsid w:val="3FFD73E9"/>
    <w:rsid w:val="3FFF2980"/>
    <w:rsid w:val="43EB6E19"/>
    <w:rsid w:val="4FFE9AAC"/>
    <w:rsid w:val="50FF6B56"/>
    <w:rsid w:val="55EE65DE"/>
    <w:rsid w:val="57FEB6A8"/>
    <w:rsid w:val="59DF0F44"/>
    <w:rsid w:val="5BBD196D"/>
    <w:rsid w:val="5EFE250F"/>
    <w:rsid w:val="5F5E9B21"/>
    <w:rsid w:val="5F6EA288"/>
    <w:rsid w:val="5F796FEC"/>
    <w:rsid w:val="5F7FCAAA"/>
    <w:rsid w:val="5FE79E9C"/>
    <w:rsid w:val="5FEF7D4F"/>
    <w:rsid w:val="5FFDDF2D"/>
    <w:rsid w:val="5FFF23D9"/>
    <w:rsid w:val="657E3C68"/>
    <w:rsid w:val="667F3F38"/>
    <w:rsid w:val="66FFC349"/>
    <w:rsid w:val="674495AE"/>
    <w:rsid w:val="6BF9E7D6"/>
    <w:rsid w:val="6CCFF5E8"/>
    <w:rsid w:val="6D0BDBBC"/>
    <w:rsid w:val="6DCFFD05"/>
    <w:rsid w:val="6ECA0D0B"/>
    <w:rsid w:val="6FA7E88F"/>
    <w:rsid w:val="6FB7396F"/>
    <w:rsid w:val="6FC62FB6"/>
    <w:rsid w:val="6FDFE52C"/>
    <w:rsid w:val="70C7EA36"/>
    <w:rsid w:val="71BF3203"/>
    <w:rsid w:val="71EDF24B"/>
    <w:rsid w:val="73FF2111"/>
    <w:rsid w:val="757F662D"/>
    <w:rsid w:val="75FF426F"/>
    <w:rsid w:val="775F2654"/>
    <w:rsid w:val="779F9C45"/>
    <w:rsid w:val="77AF9AB5"/>
    <w:rsid w:val="77AFE8B4"/>
    <w:rsid w:val="77BC673A"/>
    <w:rsid w:val="79FF61F3"/>
    <w:rsid w:val="7AFC04D5"/>
    <w:rsid w:val="7BDD2F68"/>
    <w:rsid w:val="7BFF30AB"/>
    <w:rsid w:val="7CCF31D2"/>
    <w:rsid w:val="7D5771D2"/>
    <w:rsid w:val="7D6FC593"/>
    <w:rsid w:val="7D77B7BD"/>
    <w:rsid w:val="7DD36D2C"/>
    <w:rsid w:val="7DEDA0D8"/>
    <w:rsid w:val="7DEF667A"/>
    <w:rsid w:val="7DFF496F"/>
    <w:rsid w:val="7E7F26E6"/>
    <w:rsid w:val="7EB2D040"/>
    <w:rsid w:val="7EEDBEBD"/>
    <w:rsid w:val="7EFFCE44"/>
    <w:rsid w:val="7F333E20"/>
    <w:rsid w:val="7F67998D"/>
    <w:rsid w:val="7F7B6DDD"/>
    <w:rsid w:val="7FCF4FB3"/>
    <w:rsid w:val="7FDF14C4"/>
    <w:rsid w:val="7FEEDD72"/>
    <w:rsid w:val="7FF677C4"/>
    <w:rsid w:val="7FFC23A6"/>
    <w:rsid w:val="7FFF258D"/>
    <w:rsid w:val="8FE681B9"/>
    <w:rsid w:val="9FBE456E"/>
    <w:rsid w:val="9FED6C7F"/>
    <w:rsid w:val="A67D31E9"/>
    <w:rsid w:val="A97CCEA6"/>
    <w:rsid w:val="AFD62671"/>
    <w:rsid w:val="B1FD457C"/>
    <w:rsid w:val="B777458A"/>
    <w:rsid w:val="B7FE7272"/>
    <w:rsid w:val="BD5BB59D"/>
    <w:rsid w:val="BF6D5D03"/>
    <w:rsid w:val="CAFF5CD7"/>
    <w:rsid w:val="CBDD29A0"/>
    <w:rsid w:val="CFFF9AFF"/>
    <w:rsid w:val="DDE7A2BE"/>
    <w:rsid w:val="DE6F2C83"/>
    <w:rsid w:val="EBFFAAD5"/>
    <w:rsid w:val="EC9BEC95"/>
    <w:rsid w:val="EECE476C"/>
    <w:rsid w:val="EFDB2F73"/>
    <w:rsid w:val="EFDF3A32"/>
    <w:rsid w:val="EFE90B60"/>
    <w:rsid w:val="EFFDB4FC"/>
    <w:rsid w:val="F24E70C1"/>
    <w:rsid w:val="F3EDF0C9"/>
    <w:rsid w:val="F6DFCFF7"/>
    <w:rsid w:val="F7A341D6"/>
    <w:rsid w:val="F7AC5073"/>
    <w:rsid w:val="F7EF0CA1"/>
    <w:rsid w:val="F7FB3DBD"/>
    <w:rsid w:val="F7FF2126"/>
    <w:rsid w:val="F9CBAD97"/>
    <w:rsid w:val="F9FF7C7A"/>
    <w:rsid w:val="FAF58AA4"/>
    <w:rsid w:val="FB77A63F"/>
    <w:rsid w:val="FCFE4C9B"/>
    <w:rsid w:val="FDAE3F70"/>
    <w:rsid w:val="FDB6C4FD"/>
    <w:rsid w:val="FDDF6459"/>
    <w:rsid w:val="FDED6264"/>
    <w:rsid w:val="FE9FEB5F"/>
    <w:rsid w:val="FEA679D9"/>
    <w:rsid w:val="FEFA1198"/>
    <w:rsid w:val="FEFD8BFC"/>
    <w:rsid w:val="FEFF046A"/>
    <w:rsid w:val="FEFF4E5D"/>
    <w:rsid w:val="FF3ED547"/>
    <w:rsid w:val="FF5FC43C"/>
    <w:rsid w:val="FF6DF18F"/>
    <w:rsid w:val="FF7E1178"/>
    <w:rsid w:val="FF8BFFC4"/>
    <w:rsid w:val="FF99DBCD"/>
    <w:rsid w:val="FFE364F3"/>
    <w:rsid w:val="FFF698B6"/>
    <w:rsid w:val="FFF73DE2"/>
    <w:rsid w:val="FFFBB7B6"/>
    <w:rsid w:val="FFFF0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Body Text 2"/>
    <w:qFormat/>
    <w:uiPriority w:val="0"/>
    <w:pPr>
      <w:widowControl w:val="0"/>
      <w:spacing w:after="120" w:line="480" w:lineRule="auto"/>
      <w:ind w:firstLine="682" w:firstLineChars="200"/>
      <w:jc w:val="both"/>
    </w:pPr>
    <w:rPr>
      <w:rFonts w:ascii="Times New Roman" w:hAnsi="Times New Roman" w:eastAsia="仿宋_GB2312" w:cs="Times New Roman"/>
      <w:kern w:val="2"/>
      <w:sz w:val="32"/>
      <w:szCs w:val="24"/>
      <w:lang w:val="en-US" w:eastAsia="zh-CN" w:bidi="ar-SA"/>
    </w:rPr>
  </w:style>
  <w:style w:type="character" w:styleId="8">
    <w:name w:val="Strong"/>
    <w:basedOn w:val="7"/>
    <w:qFormat/>
    <w:uiPriority w:val="22"/>
    <w:rPr>
      <w:b/>
    </w:rPr>
  </w:style>
  <w:style w:type="character" w:customStyle="1" w:styleId="9">
    <w:name w:val="批注框文本 字符"/>
    <w:basedOn w:val="7"/>
    <w:link w:val="2"/>
    <w:semiHidden/>
    <w:qFormat/>
    <w:uiPriority w:val="99"/>
    <w:rPr>
      <w:rFonts w:ascii="Calibri" w:hAnsi="Calibri" w:eastAsia="宋体" w:cs="Times New Roman"/>
      <w:sz w:val="18"/>
      <w:szCs w:val="18"/>
    </w:rPr>
  </w:style>
  <w:style w:type="character" w:customStyle="1" w:styleId="10">
    <w:name w:val="页眉 字符"/>
    <w:basedOn w:val="7"/>
    <w:link w:val="4"/>
    <w:qFormat/>
    <w:uiPriority w:val="99"/>
    <w:rPr>
      <w:rFonts w:ascii="Calibri" w:hAnsi="Calibri" w:eastAsia="宋体" w:cs="Times New Roman"/>
      <w:kern w:val="2"/>
      <w:sz w:val="18"/>
      <w:szCs w:val="18"/>
    </w:rPr>
  </w:style>
  <w:style w:type="character" w:customStyle="1" w:styleId="11">
    <w:name w:val="页脚 字符"/>
    <w:basedOn w:val="7"/>
    <w:link w:val="3"/>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161</Words>
  <Characters>918</Characters>
  <Lines>7</Lines>
  <Paragraphs>2</Paragraphs>
  <TotalTime>0</TotalTime>
  <ScaleCrop>false</ScaleCrop>
  <LinksUpToDate>false</LinksUpToDate>
  <CharactersWithSpaces>1077</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2023-08-12T14:35:00Z</dcterms:created>
  <dc:creator>xpw</dc:creator>
  <cp:lastModifiedBy>(๑´ㅂ`๑)</cp:lastModifiedBy>
  <dcterms:modified xsi:type="dcterms:W3CDTF">2026-07-17T11:15:11Z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948B0E0C7431481886237069B3CB016E_42</vt:lpwstr>
  </property>
</Properties>
</file>